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A6" w:rsidRDefault="00832360">
      <w:r>
        <w:t>Tamera Rogers</w:t>
      </w:r>
    </w:p>
    <w:p w:rsidR="00832360" w:rsidRDefault="00832360">
      <w:r>
        <w:t>GEOG 346</w:t>
      </w:r>
    </w:p>
    <w:p w:rsidR="00832360" w:rsidRDefault="00832360">
      <w:r>
        <w:t>Don Alexander</w:t>
      </w:r>
    </w:p>
    <w:p w:rsidR="00832360" w:rsidRDefault="009C241E">
      <w:r>
        <w:t>March 30</w:t>
      </w:r>
      <w:r w:rsidR="00832360" w:rsidRPr="00832360">
        <w:rPr>
          <w:vertAlign w:val="superscript"/>
        </w:rPr>
        <w:t>th</w:t>
      </w:r>
      <w:r w:rsidR="00832360">
        <w:t>, 2012</w:t>
      </w:r>
    </w:p>
    <w:p w:rsidR="00832360" w:rsidRDefault="00832360"/>
    <w:p w:rsidR="006D4EFB" w:rsidRDefault="006D4EFB" w:rsidP="00832360">
      <w:pPr>
        <w:jc w:val="center"/>
      </w:pPr>
    </w:p>
    <w:p w:rsidR="00832360" w:rsidRDefault="0009383B" w:rsidP="00832360">
      <w:pPr>
        <w:jc w:val="center"/>
      </w:pPr>
      <w:r>
        <w:t>Interim Brownfield Use: A Case Study of the YPN Community Gardens</w:t>
      </w:r>
    </w:p>
    <w:p w:rsidR="0009383B" w:rsidRDefault="0009383B" w:rsidP="00832360">
      <w:pPr>
        <w:jc w:val="both"/>
        <w:rPr>
          <w:b/>
        </w:rPr>
      </w:pPr>
    </w:p>
    <w:p w:rsidR="006D4EFB" w:rsidRDefault="006D4EFB" w:rsidP="00832360">
      <w:pPr>
        <w:jc w:val="both"/>
        <w:rPr>
          <w:b/>
        </w:rPr>
      </w:pPr>
    </w:p>
    <w:p w:rsidR="00832360" w:rsidRDefault="00832360" w:rsidP="00832360">
      <w:pPr>
        <w:jc w:val="both"/>
        <w:rPr>
          <w:b/>
        </w:rPr>
      </w:pPr>
      <w:r>
        <w:rPr>
          <w:b/>
        </w:rPr>
        <w:t>Introduction</w:t>
      </w:r>
    </w:p>
    <w:p w:rsidR="00832360" w:rsidRDefault="00832360" w:rsidP="00832360">
      <w:pPr>
        <w:jc w:val="both"/>
        <w:rPr>
          <w:b/>
        </w:rPr>
      </w:pPr>
    </w:p>
    <w:p w:rsidR="004725FF" w:rsidRDefault="006F6F64" w:rsidP="00B05FD4">
      <w:pPr>
        <w:spacing w:line="480" w:lineRule="auto"/>
      </w:pPr>
      <w:r>
        <w:tab/>
      </w:r>
      <w:r w:rsidR="00832360">
        <w:t>Travelling through u</w:t>
      </w:r>
      <w:r w:rsidR="008C0F5A">
        <w:t>rban areas</w:t>
      </w:r>
      <w:r w:rsidR="00292B6C">
        <w:t>,</w:t>
      </w:r>
      <w:r w:rsidR="008C0F5A">
        <w:t xml:space="preserve"> </w:t>
      </w:r>
      <w:r w:rsidR="00BC01E5">
        <w:t>it is common to see</w:t>
      </w:r>
      <w:r w:rsidR="00832360">
        <w:t xml:space="preserve"> vacant lots dotting the landscape. These abandoned properties </w:t>
      </w:r>
      <w:r w:rsidR="00BC01E5">
        <w:t>are like missing teeth; one can imagine what was onc</w:t>
      </w:r>
      <w:r w:rsidR="0009383B">
        <w:t xml:space="preserve">e there, but </w:t>
      </w:r>
      <w:r w:rsidR="008C0F5A">
        <w:t xml:space="preserve">an empty space </w:t>
      </w:r>
      <w:r w:rsidR="0009383B">
        <w:t>is all that remains</w:t>
      </w:r>
      <w:r w:rsidR="00B05FD4">
        <w:t>.</w:t>
      </w:r>
      <w:r w:rsidR="00BC01E5">
        <w:t xml:space="preserve"> Lyin</w:t>
      </w:r>
      <w:r w:rsidR="008C0F5A">
        <w:t>g vacant, these lots are often</w:t>
      </w:r>
      <w:r w:rsidR="00BC01E5">
        <w:t xml:space="preserve"> capped with c</w:t>
      </w:r>
      <w:r w:rsidR="008C0F5A">
        <w:t>ement and surrounded by fencing, further removing the</w:t>
      </w:r>
      <w:r w:rsidR="00E47E57">
        <w:t>m</w:t>
      </w:r>
      <w:r w:rsidR="008C0F5A">
        <w:t xml:space="preserve"> </w:t>
      </w:r>
      <w:r w:rsidR="00BC01E5">
        <w:t xml:space="preserve">from any </w:t>
      </w:r>
      <w:r w:rsidR="00E47E57">
        <w:t>benefits to the community. Lots such as these</w:t>
      </w:r>
      <w:r w:rsidR="0009383B">
        <w:t xml:space="preserve"> are frequent</w:t>
      </w:r>
      <w:r w:rsidR="008C0F5A">
        <w:t>ly referred to as brownfields and are defined by th</w:t>
      </w:r>
      <w:r w:rsidR="00BC01E5">
        <w:t>e Nat</w:t>
      </w:r>
      <w:r w:rsidR="003024DF">
        <w:t>ional Round Table on the Environment and the Economy (NRTEE), an independent policy advisory agency for the Government of Canada,</w:t>
      </w:r>
      <w:r w:rsidR="0009383B">
        <w:t xml:space="preserve"> </w:t>
      </w:r>
      <w:r w:rsidR="00BC01E5">
        <w:t>as “</w:t>
      </w:r>
      <w:r w:rsidR="00BC01E5" w:rsidRPr="0058749D">
        <w:t>abandoned, vacant, derelict or underutilized commercial and industrial properties where past actions have resulted in actual or perceived contamination and where t</w:t>
      </w:r>
      <w:r w:rsidR="00BC01E5">
        <w:t xml:space="preserve">here is an active potential for </w:t>
      </w:r>
      <w:r w:rsidR="00BC01E5" w:rsidRPr="0058749D">
        <w:t>redevelopment"</w:t>
      </w:r>
      <w:r w:rsidR="00BC01E5">
        <w:t xml:space="preserve"> (</w:t>
      </w:r>
      <w:r w:rsidR="003024DF">
        <w:t xml:space="preserve">2003, </w:t>
      </w:r>
      <w:r w:rsidR="00BC01E5">
        <w:t>p. ix).</w:t>
      </w:r>
      <w:r w:rsidR="005D5A05">
        <w:t xml:space="preserve"> </w:t>
      </w:r>
    </w:p>
    <w:p w:rsidR="00832360" w:rsidRDefault="004725FF" w:rsidP="00B05FD4">
      <w:pPr>
        <w:spacing w:line="480" w:lineRule="auto"/>
      </w:pPr>
      <w:r>
        <w:tab/>
      </w:r>
      <w:r w:rsidR="008C0F5A">
        <w:t>Brownfields can be</w:t>
      </w:r>
      <w:r w:rsidR="005D5A05">
        <w:t xml:space="preserve"> e</w:t>
      </w:r>
      <w:r w:rsidR="008C0F5A">
        <w:t xml:space="preserve">yesores in communities that </w:t>
      </w:r>
      <w:r w:rsidR="005D5A05">
        <w:t>threaten the health and safety of community members and the surrounding environment. At the same time,</w:t>
      </w:r>
      <w:r w:rsidR="00292B6C">
        <w:t xml:space="preserve"> they</w:t>
      </w:r>
      <w:r w:rsidR="00967283">
        <w:t xml:space="preserve"> </w:t>
      </w:r>
      <w:r w:rsidR="00517364">
        <w:t>can be</w:t>
      </w:r>
      <w:r w:rsidR="00967283">
        <w:t xml:space="preserve"> benefits to communities if they are remediated, redevelop</w:t>
      </w:r>
      <w:r w:rsidR="00E47E57">
        <w:t>ed or put to temporary use</w:t>
      </w:r>
      <w:r w:rsidR="005D5A05">
        <w:t>.</w:t>
      </w:r>
      <w:r w:rsidR="009C376C">
        <w:t xml:space="preserve"> </w:t>
      </w:r>
      <w:r w:rsidR="00627F32">
        <w:t xml:space="preserve">The purpose of this essay is to </w:t>
      </w:r>
      <w:r w:rsidR="00EC06C6">
        <w:t>d</w:t>
      </w:r>
      <w:r w:rsidR="00E47E57">
        <w:t>escribe in greater depth the</w:t>
      </w:r>
      <w:r w:rsidR="00EC06C6">
        <w:t xml:space="preserve"> concerns, challenges and opportunities </w:t>
      </w:r>
      <w:r w:rsidR="00E47E57">
        <w:t>associated with brownfields</w:t>
      </w:r>
      <w:r w:rsidR="00517364">
        <w:t>,</w:t>
      </w:r>
      <w:r w:rsidR="00E47E57">
        <w:t xml:space="preserve"> </w:t>
      </w:r>
      <w:r w:rsidR="00EC06C6">
        <w:t xml:space="preserve">and </w:t>
      </w:r>
      <w:r w:rsidR="00627F32">
        <w:t xml:space="preserve">to </w:t>
      </w:r>
      <w:r w:rsidR="00EC06C6">
        <w:t>consider a strategy for interim use of brownfields as witnessed in a case study in Nanaimo, BC.</w:t>
      </w:r>
    </w:p>
    <w:p w:rsidR="006D4EFB" w:rsidRDefault="006D4EFB" w:rsidP="00832360"/>
    <w:p w:rsidR="00462867" w:rsidRDefault="005D5A05" w:rsidP="00832360">
      <w:pPr>
        <w:rPr>
          <w:b/>
        </w:rPr>
      </w:pPr>
      <w:r>
        <w:rPr>
          <w:b/>
        </w:rPr>
        <w:t xml:space="preserve">Brownfields </w:t>
      </w:r>
    </w:p>
    <w:p w:rsidR="00BD31FA" w:rsidRDefault="006D4EFB" w:rsidP="00951673">
      <w:pPr>
        <w:spacing w:line="480" w:lineRule="auto"/>
      </w:pPr>
      <w:r>
        <w:tab/>
      </w:r>
      <w:r>
        <w:br/>
      </w:r>
      <w:r>
        <w:tab/>
      </w:r>
      <w:r w:rsidR="00951673">
        <w:t>While brownfiel</w:t>
      </w:r>
      <w:r w:rsidR="00EC2CF5">
        <w:t>ds can be located anywhere</w:t>
      </w:r>
      <w:r w:rsidR="00951673">
        <w:t xml:space="preserve">, they are most </w:t>
      </w:r>
      <w:r w:rsidR="00E47E57">
        <w:t>commonly</w:t>
      </w:r>
      <w:r w:rsidR="00951673">
        <w:t xml:space="preserve"> situa</w:t>
      </w:r>
      <w:r w:rsidR="009C376C">
        <w:t xml:space="preserve">ted in towns </w:t>
      </w:r>
      <w:r w:rsidR="009C376C">
        <w:lastRenderedPageBreak/>
        <w:t>and cities</w:t>
      </w:r>
      <w:r w:rsidR="00951673">
        <w:t>. According to the British Columbia Ministry of Environment</w:t>
      </w:r>
      <w:r w:rsidR="00EC2CF5">
        <w:t xml:space="preserve"> (2009)</w:t>
      </w:r>
      <w:r w:rsidR="00951673">
        <w:t xml:space="preserve">, BC has </w:t>
      </w:r>
      <w:r w:rsidR="00627F32">
        <w:t xml:space="preserve">more than </w:t>
      </w:r>
      <w:r w:rsidR="000466EE">
        <w:t xml:space="preserve">9000 </w:t>
      </w:r>
      <w:r w:rsidR="00EC2CF5">
        <w:t>brownfields (</w:t>
      </w:r>
      <w:r w:rsidR="000466EE">
        <w:t>p. 1</w:t>
      </w:r>
      <w:r w:rsidR="00951673">
        <w:t xml:space="preserve">). </w:t>
      </w:r>
      <w:r w:rsidR="00BD31FA">
        <w:t xml:space="preserve">Examples </w:t>
      </w:r>
      <w:r w:rsidR="00E47E57">
        <w:t>of brownfields are</w:t>
      </w:r>
      <w:r w:rsidR="00EC2CF5">
        <w:t xml:space="preserve"> </w:t>
      </w:r>
      <w:r w:rsidR="009C376C">
        <w:t>abandoned gas stations, dr</w:t>
      </w:r>
      <w:r w:rsidR="008C2196">
        <w:t xml:space="preserve">y cleaning establishments, former industrial sites, and </w:t>
      </w:r>
      <w:r w:rsidR="00BD31FA">
        <w:t>junkyards</w:t>
      </w:r>
      <w:r w:rsidR="006600C4">
        <w:t xml:space="preserve">. </w:t>
      </w:r>
      <w:r w:rsidR="00E47E57">
        <w:t>These sites</w:t>
      </w:r>
      <w:r w:rsidR="00BD31FA">
        <w:t xml:space="preserve"> often contain </w:t>
      </w:r>
      <w:r w:rsidR="00BD31FA" w:rsidRPr="00FC1A95">
        <w:t>heavy metals such as lea</w:t>
      </w:r>
      <w:r w:rsidR="00EC2CF5">
        <w:t>d, arsenic, cadmium, and mercur</w:t>
      </w:r>
      <w:r w:rsidR="00923913">
        <w:t>y (BC Ministry of Env</w:t>
      </w:r>
      <w:r w:rsidR="00927F44">
        <w:t xml:space="preserve">ironment, </w:t>
      </w:r>
      <w:proofErr w:type="spellStart"/>
      <w:r w:rsidR="00927F44">
        <w:t>n.d</w:t>
      </w:r>
      <w:proofErr w:type="spellEnd"/>
      <w:r w:rsidR="00927F44">
        <w:t>. B</w:t>
      </w:r>
      <w:r w:rsidR="00E47E57">
        <w:t>, para.1). S</w:t>
      </w:r>
      <w:r w:rsidR="00923913">
        <w:t>ubstances</w:t>
      </w:r>
      <w:r w:rsidR="00E47E57">
        <w:t xml:space="preserve"> such as these</w:t>
      </w:r>
      <w:r w:rsidR="00923913">
        <w:t xml:space="preserve"> </w:t>
      </w:r>
      <w:r w:rsidR="00BD31FA">
        <w:t>pollute the air, soil,</w:t>
      </w:r>
      <w:r w:rsidR="00923913">
        <w:t xml:space="preserve"> water, and vegetation on sites</w:t>
      </w:r>
      <w:r w:rsidR="00BD31FA">
        <w:t xml:space="preserve"> causing </w:t>
      </w:r>
      <w:r w:rsidR="00F709DE">
        <w:t>ecological damage</w:t>
      </w:r>
      <w:r w:rsidR="00BD31FA">
        <w:t xml:space="preserve"> as well as mild to severe </w:t>
      </w:r>
      <w:r w:rsidR="00F709DE">
        <w:t>threats</w:t>
      </w:r>
      <w:r w:rsidR="00BD31FA">
        <w:t xml:space="preserve"> to human health. </w:t>
      </w:r>
    </w:p>
    <w:p w:rsidR="005D5A05" w:rsidRDefault="00BD31FA" w:rsidP="00951673">
      <w:pPr>
        <w:spacing w:line="480" w:lineRule="auto"/>
      </w:pPr>
      <w:r>
        <w:tab/>
      </w:r>
      <w:r w:rsidR="005C63EB">
        <w:t>While brownfields are</w:t>
      </w:r>
      <w:r w:rsidR="00956ADC">
        <w:t xml:space="preserve"> stigmatized for</w:t>
      </w:r>
      <w:r w:rsidR="005C63EB">
        <w:t xml:space="preserve"> their site contamination, </w:t>
      </w:r>
      <w:r w:rsidR="003024DF">
        <w:t xml:space="preserve">not all brownfields are necessarily contaminated. In fact, it is estimated that “up to 30% of brownfield sites, once investigated, are found to be uncontaminated or marginally contaminated” (BC Ministry of Environment, 2007, p. 1). </w:t>
      </w:r>
      <w:r w:rsidR="00627F32">
        <w:t>On the other hand</w:t>
      </w:r>
      <w:r w:rsidR="00956ADC">
        <w:t xml:space="preserve">, the </w:t>
      </w:r>
      <w:r w:rsidR="005C63EB">
        <w:t xml:space="preserve">BC </w:t>
      </w:r>
      <w:r w:rsidR="00956ADC">
        <w:t>Ministry</w:t>
      </w:r>
      <w:r w:rsidR="005C63EB">
        <w:t xml:space="preserve"> of Environment</w:t>
      </w:r>
      <w:r w:rsidR="00956ADC">
        <w:t xml:space="preserve"> (2007) </w:t>
      </w:r>
      <w:r w:rsidR="006600C4">
        <w:t xml:space="preserve">explains that not all contaminated sites are brownfields as the site must have redevelopment potential if it is to be considered as such (p. 1). </w:t>
      </w:r>
    </w:p>
    <w:p w:rsidR="000466EE" w:rsidRPr="004E7FFC" w:rsidRDefault="00956ADC" w:rsidP="004E7FFC">
      <w:pPr>
        <w:spacing w:line="480" w:lineRule="auto"/>
      </w:pPr>
      <w:r>
        <w:tab/>
      </w:r>
      <w:r w:rsidR="009C06C5">
        <w:t>T</w:t>
      </w:r>
      <w:r w:rsidR="006F6F64">
        <w:t xml:space="preserve">he process </w:t>
      </w:r>
      <w:r w:rsidR="004E7FFC">
        <w:t>of identifying</w:t>
      </w:r>
      <w:r w:rsidR="009C06C5">
        <w:t xml:space="preserve"> potentially contaminated sites</w:t>
      </w:r>
      <w:r w:rsidR="004E7FFC">
        <w:t xml:space="preserve"> </w:t>
      </w:r>
      <w:r w:rsidR="009C06C5">
        <w:t>is usually triggered when an application is received by a local government for develo</w:t>
      </w:r>
      <w:r w:rsidR="00ED66E9">
        <w:t>pment, rezoning, demolition, or</w:t>
      </w:r>
      <w:r w:rsidR="009C06C5">
        <w:t xml:space="preserve"> soil relocation on </w:t>
      </w:r>
      <w:r w:rsidR="009C06C5" w:rsidRPr="000466EE">
        <w:t>“land that the person knows or reasonably should know is or was used for industrial or commercial activity” (</w:t>
      </w:r>
      <w:r w:rsidR="009C06C5">
        <w:t xml:space="preserve">BC Environmental Management Act, 2012, </w:t>
      </w:r>
      <w:r w:rsidR="009C06C5" w:rsidRPr="000466EE">
        <w:t xml:space="preserve">Section 40). </w:t>
      </w:r>
      <w:r w:rsidR="009C06C5">
        <w:t>The process can also be triggered when a local government is notified of a spill or possible contamination and when an industrial or commercial site is being decommissioned or foreclosed (BC Ministry of Environment, 2009, p.2). When a site comes to the attention of a municipality, the person responsible for the site is required to complete a site profile. Site profiles identify the history of a</w:t>
      </w:r>
      <w:r>
        <w:t xml:space="preserve"> site an</w:t>
      </w:r>
      <w:r w:rsidR="009C06C5">
        <w:t>d its potential for contamination</w:t>
      </w:r>
      <w:r>
        <w:t xml:space="preserve">. </w:t>
      </w:r>
      <w:r w:rsidR="001B1D33">
        <w:t>I</w:t>
      </w:r>
      <w:r w:rsidR="00C5141B">
        <w:t xml:space="preserve">f the site’s history </w:t>
      </w:r>
      <w:r>
        <w:t>indicate</w:t>
      </w:r>
      <w:r w:rsidR="00C5141B">
        <w:t>s</w:t>
      </w:r>
      <w:r>
        <w:t xml:space="preserve"> potential site contaminatio</w:t>
      </w:r>
      <w:r w:rsidR="00CB6995">
        <w:t>n, a site investigation is required</w:t>
      </w:r>
      <w:r w:rsidR="00ED66E9">
        <w:t>. When a</w:t>
      </w:r>
      <w:r w:rsidR="001B1D33">
        <w:t xml:space="preserve"> brownfi</w:t>
      </w:r>
      <w:r w:rsidR="00ED66E9">
        <w:t>eld is found to be contaminated,</w:t>
      </w:r>
      <w:r w:rsidR="001B1D33">
        <w:t xml:space="preserve"> the results are compared </w:t>
      </w:r>
      <w:r>
        <w:t>with environmental</w:t>
      </w:r>
      <w:r w:rsidR="001B1D33">
        <w:t xml:space="preserve"> quality</w:t>
      </w:r>
      <w:r>
        <w:t xml:space="preserve"> standards</w:t>
      </w:r>
      <w:r w:rsidR="00ED66E9">
        <w:t xml:space="preserve"> to</w:t>
      </w:r>
      <w:r w:rsidR="001B1D33">
        <w:t xml:space="preserve"> determine the remediation plan </w:t>
      </w:r>
      <w:r w:rsidR="001B1D33">
        <w:lastRenderedPageBreak/>
        <w:t>needed for</w:t>
      </w:r>
      <w:r w:rsidR="004C0003">
        <w:t xml:space="preserve"> the</w:t>
      </w:r>
      <w:r w:rsidR="001B1D33">
        <w:t xml:space="preserve"> intended</w:t>
      </w:r>
      <w:r w:rsidR="004C0003">
        <w:t xml:space="preserve"> redevelopment</w:t>
      </w:r>
      <w:r w:rsidR="00A6759A">
        <w:t xml:space="preserve"> use</w:t>
      </w:r>
      <w:r w:rsidR="006F6F64">
        <w:t xml:space="preserve"> (</w:t>
      </w:r>
      <w:r w:rsidR="004E7FFC">
        <w:t xml:space="preserve">BC Ministry of Environment, </w:t>
      </w:r>
      <w:r w:rsidR="00927F44">
        <w:t xml:space="preserve">n.d. </w:t>
      </w:r>
      <w:proofErr w:type="gramStart"/>
      <w:r w:rsidR="00927F44">
        <w:t>A</w:t>
      </w:r>
      <w:r w:rsidR="006F6F64">
        <w:t xml:space="preserve">, </w:t>
      </w:r>
      <w:proofErr w:type="spellStart"/>
      <w:r w:rsidR="006F6F64">
        <w:t>para</w:t>
      </w:r>
      <w:proofErr w:type="spellEnd"/>
      <w:r w:rsidR="006F6F64">
        <w:t>.</w:t>
      </w:r>
      <w:proofErr w:type="gramEnd"/>
      <w:r w:rsidR="006F6F64">
        <w:t xml:space="preserve"> 8).</w:t>
      </w:r>
      <w:r w:rsidR="004E7FFC">
        <w:t xml:space="preserve"> Depending on the severity of contamination, those responsible for the brownfield will either be required to remediate the property immediately</w:t>
      </w:r>
      <w:r w:rsidR="00A6759A">
        <w:t>,</w:t>
      </w:r>
      <w:r w:rsidR="004E7FFC">
        <w:t xml:space="preserve"> or, if there is little </w:t>
      </w:r>
      <w:r w:rsidR="00627F32">
        <w:t xml:space="preserve">immediate </w:t>
      </w:r>
      <w:r w:rsidR="004E7FFC">
        <w:t xml:space="preserve">risk to human health or the environment, remediation can be postponed [BC Environmental Management Act, 2012, Section 48(9)]. </w:t>
      </w:r>
    </w:p>
    <w:p w:rsidR="00A6759A" w:rsidRDefault="006600C4" w:rsidP="00951673">
      <w:pPr>
        <w:spacing w:line="480" w:lineRule="auto"/>
      </w:pPr>
      <w:r>
        <w:tab/>
      </w:r>
      <w:r w:rsidR="00A6759A">
        <w:t>Each brownfield is different as each site has had a unique past and unique location</w:t>
      </w:r>
      <w:r w:rsidR="00292B6C">
        <w:t>,</w:t>
      </w:r>
      <w:r w:rsidR="00A6759A">
        <w:t xml:space="preserve"> which can affect its value to developers. In Canada, brownfields are</w:t>
      </w:r>
      <w:r w:rsidR="003024DF">
        <w:t xml:space="preserve"> grouped into three categories: top tier, middle tier and bottom tier</w:t>
      </w:r>
      <w:r w:rsidR="00A6759A">
        <w:t xml:space="preserve"> sites</w:t>
      </w:r>
      <w:r w:rsidR="003024DF">
        <w:t xml:space="preserve">. According to the </w:t>
      </w:r>
      <w:r w:rsidR="00956ADC">
        <w:t>NRTEE (2003), top tier brownfields account for 15% to 20% of brownfields in Canada and are</w:t>
      </w:r>
      <w:r w:rsidR="00A6759A">
        <w:t xml:space="preserve"> the</w:t>
      </w:r>
      <w:r w:rsidR="00956ADC">
        <w:t xml:space="preserve"> most profitable to redevelop (p. 5). Because of </w:t>
      </w:r>
      <w:r w:rsidR="00A40ABA">
        <w:t>their greater potential for profitability</w:t>
      </w:r>
      <w:r w:rsidR="00A6759A">
        <w:t xml:space="preserve">, top tier brownfields </w:t>
      </w:r>
      <w:r w:rsidR="006F6F64">
        <w:t>tend to redevelop quickly.</w:t>
      </w:r>
      <w:r w:rsidR="00A6759A">
        <w:t xml:space="preserve"> On the other hand, b</w:t>
      </w:r>
      <w:r w:rsidR="006F6F64">
        <w:t>ottom tier brownfields also make up 15% to 20</w:t>
      </w:r>
      <w:r w:rsidR="00C93D22">
        <w:t>% of brownfield</w:t>
      </w:r>
      <w:r w:rsidR="00A6759A">
        <w:t>s in Canada</w:t>
      </w:r>
      <w:r w:rsidR="00A40ABA">
        <w:t>, and are</w:t>
      </w:r>
      <w:r w:rsidR="00C93D22">
        <w:t xml:space="preserve"> often cost-prohibitive to remediate and are unlikely to be redeveloped </w:t>
      </w:r>
      <w:r w:rsidR="00A6759A">
        <w:t xml:space="preserve">in the near future </w:t>
      </w:r>
      <w:r w:rsidR="00C93D22">
        <w:t>(NRTEE, 2003, p. 5). Finally, middle tier brownfields make up the ma</w:t>
      </w:r>
      <w:r w:rsidR="00A6759A">
        <w:t xml:space="preserve">jority of brownfields in the country </w:t>
      </w:r>
      <w:r w:rsidR="00C93D22">
        <w:t xml:space="preserve">at roughly 60% to 70% of sites (NRTEE, 2003, p.5). </w:t>
      </w:r>
    </w:p>
    <w:p w:rsidR="006600C4" w:rsidRDefault="00A6759A" w:rsidP="00951673">
      <w:pPr>
        <w:spacing w:line="480" w:lineRule="auto"/>
      </w:pPr>
      <w:r>
        <w:tab/>
      </w:r>
      <w:r w:rsidR="00C93D22">
        <w:t>Middle tier brownfields are, at</w:t>
      </w:r>
      <w:r w:rsidR="00E758B2">
        <w:t xml:space="preserve"> once, a</w:t>
      </w:r>
      <w:r w:rsidR="00C93D22">
        <w:t xml:space="preserve"> great problem and a great opportunity for developers and com</w:t>
      </w:r>
      <w:r>
        <w:t xml:space="preserve">munities. These brownfields can be </w:t>
      </w:r>
      <w:r w:rsidR="00292B6C">
        <w:t xml:space="preserve">problematic because </w:t>
      </w:r>
      <w:r w:rsidR="00A40ABA">
        <w:t xml:space="preserve">while </w:t>
      </w:r>
      <w:r w:rsidR="00303809">
        <w:t>they tend to have</w:t>
      </w:r>
      <w:r w:rsidR="00E758B2">
        <w:t xml:space="preserve"> ideal</w:t>
      </w:r>
      <w:r w:rsidR="00303809">
        <w:t xml:space="preserve"> locations within cities</w:t>
      </w:r>
      <w:r w:rsidR="00292B6C">
        <w:t>, they are costly to remediate</w:t>
      </w:r>
      <w:r w:rsidR="00961D7E">
        <w:t xml:space="preserve"> (NRTEE, 2003, p. 6)</w:t>
      </w:r>
      <w:r w:rsidR="00303809">
        <w:t xml:space="preserve">. Because developers do not stand to profit much from redeveloping middle tier brownfields, these sites tend to stay vacant until developers </w:t>
      </w:r>
      <w:r w:rsidR="00A40ABA">
        <w:t>feel the risk is worth taking</w:t>
      </w:r>
      <w:r w:rsidR="00303809">
        <w:t xml:space="preserve">. </w:t>
      </w:r>
    </w:p>
    <w:p w:rsidR="00951673" w:rsidRDefault="00951673" w:rsidP="00832360">
      <w:pPr>
        <w:rPr>
          <w:i/>
        </w:rPr>
      </w:pPr>
    </w:p>
    <w:p w:rsidR="005D5A05" w:rsidRDefault="005D5A05" w:rsidP="00832360">
      <w:pPr>
        <w:rPr>
          <w:i/>
        </w:rPr>
      </w:pPr>
      <w:r>
        <w:rPr>
          <w:i/>
        </w:rPr>
        <w:t>Challenges</w:t>
      </w:r>
    </w:p>
    <w:p w:rsidR="005D5A05" w:rsidRDefault="005D5A05" w:rsidP="00832360">
      <w:pPr>
        <w:rPr>
          <w:i/>
        </w:rPr>
      </w:pPr>
    </w:p>
    <w:p w:rsidR="00B3091D" w:rsidRDefault="00CB02CD" w:rsidP="00CB02CD">
      <w:pPr>
        <w:spacing w:line="480" w:lineRule="auto"/>
      </w:pPr>
      <w:r>
        <w:tab/>
        <w:t>Left vacant, b</w:t>
      </w:r>
      <w:r w:rsidR="0015086C">
        <w:t>rownfields are of</w:t>
      </w:r>
      <w:r>
        <w:t xml:space="preserve"> disservi</w:t>
      </w:r>
      <w:r w:rsidR="0015086C">
        <w:t>ce to communities as they</w:t>
      </w:r>
      <w:r w:rsidR="00A40ABA">
        <w:t xml:space="preserve"> do not</w:t>
      </w:r>
      <w:r w:rsidR="0015086C">
        <w:t xml:space="preserve"> provide</w:t>
      </w:r>
      <w:r>
        <w:t xml:space="preserve"> social, economic or environmental value. </w:t>
      </w:r>
      <w:r w:rsidR="008F1023">
        <w:t>A</w:t>
      </w:r>
      <w:r w:rsidR="0015086C">
        <w:t>bandoned brownfields</w:t>
      </w:r>
      <w:r w:rsidR="00CD1AA7">
        <w:t xml:space="preserve"> can </w:t>
      </w:r>
      <w:r>
        <w:t xml:space="preserve">attract crime, lower property </w:t>
      </w:r>
      <w:r>
        <w:lastRenderedPageBreak/>
        <w:t xml:space="preserve">values, provide little tax revenue to cities, leave holes in communities, and contaminate the environment. </w:t>
      </w:r>
    </w:p>
    <w:p w:rsidR="0098172C" w:rsidRDefault="00B3091D" w:rsidP="00CB02CD">
      <w:pPr>
        <w:spacing w:line="480" w:lineRule="auto"/>
      </w:pPr>
      <w:r>
        <w:tab/>
      </w:r>
      <w:r w:rsidR="00CD1AA7">
        <w:t>Aside from the</w:t>
      </w:r>
      <w:r w:rsidR="008F2729">
        <w:t xml:space="preserve">se </w:t>
      </w:r>
      <w:r w:rsidR="008F1023">
        <w:t>detractions</w:t>
      </w:r>
      <w:r w:rsidR="008F2729">
        <w:t xml:space="preserve">, brownfields are also </w:t>
      </w:r>
      <w:r w:rsidR="00E758B2">
        <w:t>difficult</w:t>
      </w:r>
      <w:r w:rsidR="0015086C">
        <w:t xml:space="preserve"> to redevelop. A significant reason for this is that there is a liability risk associated with brownfield ownership</w:t>
      </w:r>
      <w:r w:rsidR="008F2729">
        <w:t xml:space="preserve">. According to the BC Environmental Management Act (2012), </w:t>
      </w:r>
      <w:r w:rsidR="008F1023">
        <w:t>those</w:t>
      </w:r>
      <w:r w:rsidR="008F2729">
        <w:t xml:space="preserve"> responsible for the remediation of contaminated brownfield sites include “a current or previous owner or operator of a site, or the current or previous owner or operator of a site from whic</w:t>
      </w:r>
      <w:r w:rsidR="0015086C">
        <w:t>h the substance has migrated” (S</w:t>
      </w:r>
      <w:r w:rsidR="008F2729">
        <w:t xml:space="preserve">ection 45). While there are </w:t>
      </w:r>
      <w:r w:rsidR="0015086C">
        <w:t xml:space="preserve">instances where </w:t>
      </w:r>
      <w:r>
        <w:t xml:space="preserve">an owner or operator </w:t>
      </w:r>
      <w:r w:rsidR="0015086C">
        <w:t>of a contaminated brownfield is</w:t>
      </w:r>
      <w:r>
        <w:t xml:space="preserve"> </w:t>
      </w:r>
      <w:r w:rsidR="0015086C">
        <w:t>not</w:t>
      </w:r>
      <w:r>
        <w:t xml:space="preserve"> held responsible for remedi</w:t>
      </w:r>
      <w:r w:rsidR="0015086C">
        <w:t>ation, there remains a</w:t>
      </w:r>
      <w:r>
        <w:t xml:space="preserve"> great deal of risk involved in owning a brownfield (BC Envir</w:t>
      </w:r>
      <w:r w:rsidR="0015086C">
        <w:t>onmental Management Act, 2012, S</w:t>
      </w:r>
      <w:r>
        <w:t>ection 46). What’s more, liability for brownfields does not disappear after the property passes into other hands. In fact, even after remediation is completed, most provinces do not provide a certificate of completion of remediation</w:t>
      </w:r>
      <w:r w:rsidR="0015086C">
        <w:t>. E</w:t>
      </w:r>
      <w:r>
        <w:t>ven when they do, such as in BC, it is still possible that liability can be reopened if environmental standards and procedures change (NRTEE, 2003, p. 6).</w:t>
      </w:r>
      <w:r w:rsidR="0098172C">
        <w:t xml:space="preserve"> </w:t>
      </w:r>
    </w:p>
    <w:p w:rsidR="00CE3CFD" w:rsidRDefault="0098172C" w:rsidP="00CB02CD">
      <w:pPr>
        <w:spacing w:line="480" w:lineRule="auto"/>
      </w:pPr>
      <w:r>
        <w:tab/>
      </w:r>
      <w:r w:rsidR="00CE3CFD">
        <w:t xml:space="preserve">In the NRTEE (2003) report, </w:t>
      </w:r>
      <w:r w:rsidR="00CE3CFD">
        <w:rPr>
          <w:i/>
        </w:rPr>
        <w:t xml:space="preserve">Cleaning Up the Past, Building the Future, </w:t>
      </w:r>
      <w:r w:rsidR="00E758B2">
        <w:t xml:space="preserve">the authors </w:t>
      </w:r>
      <w:r w:rsidR="00CE3CFD">
        <w:t>explain that the risk of liability passes on a great deal of stigma surrounding brownfields for all stakeholders</w:t>
      </w:r>
      <w:r w:rsidR="00B051C3">
        <w:t xml:space="preserve"> (p. 7)</w:t>
      </w:r>
      <w:r w:rsidR="00CE3CFD">
        <w:t xml:space="preserve">. </w:t>
      </w:r>
      <w:r>
        <w:t xml:space="preserve">For example, </w:t>
      </w:r>
      <w:r w:rsidR="00E758B2">
        <w:t>since</w:t>
      </w:r>
      <w:r>
        <w:t xml:space="preserve"> there is no transfer of liability when a brownfield is purchased, owners </w:t>
      </w:r>
      <w:r w:rsidR="008F1023">
        <w:t xml:space="preserve">may prefer </w:t>
      </w:r>
      <w:r>
        <w:t xml:space="preserve">to </w:t>
      </w:r>
      <w:r w:rsidR="00E758B2">
        <w:t>keep ow</w:t>
      </w:r>
      <w:r w:rsidR="006157E8">
        <w:t>nership and leave the property</w:t>
      </w:r>
      <w:r>
        <w:t xml:space="preserve"> vacant</w:t>
      </w:r>
      <w:r w:rsidR="008F1023">
        <w:t>, ensuring</w:t>
      </w:r>
      <w:r>
        <w:t xml:space="preserve"> that they will not face </w:t>
      </w:r>
      <w:r w:rsidR="00E758B2">
        <w:t xml:space="preserve">future </w:t>
      </w:r>
      <w:r>
        <w:t>charges for r</w:t>
      </w:r>
      <w:r w:rsidR="000A5624">
        <w:t xml:space="preserve">emediation </w:t>
      </w:r>
      <w:r w:rsidR="00E758B2">
        <w:t>due to</w:t>
      </w:r>
      <w:r w:rsidR="000A5624">
        <w:t xml:space="preserve"> their</w:t>
      </w:r>
      <w:r>
        <w:t xml:space="preserve"> previous owner</w:t>
      </w:r>
      <w:r w:rsidR="000A5624">
        <w:t>ship</w:t>
      </w:r>
      <w:r w:rsidR="00E758B2">
        <w:t xml:space="preserve"> of the property</w:t>
      </w:r>
      <w:r w:rsidR="00B051C3">
        <w:t xml:space="preserve"> (NRTEE, 2003, p. 7)</w:t>
      </w:r>
      <w:r w:rsidR="000A5624">
        <w:t>.</w:t>
      </w:r>
      <w:r>
        <w:t xml:space="preserve"> </w:t>
      </w:r>
      <w:r w:rsidR="006157E8">
        <w:t>Additionally</w:t>
      </w:r>
      <w:r w:rsidR="008F1023">
        <w:t>, i</w:t>
      </w:r>
      <w:r>
        <w:t xml:space="preserve">nterested developers are </w:t>
      </w:r>
      <w:r w:rsidR="00E758B2">
        <w:t>often apprehensive</w:t>
      </w:r>
      <w:r w:rsidR="00CE3CFD">
        <w:t xml:space="preserve"> to </w:t>
      </w:r>
      <w:r w:rsidR="008F1023">
        <w:t xml:space="preserve">invest in </w:t>
      </w:r>
      <w:r w:rsidR="00CE3CFD">
        <w:t>brownfields as they also become liable for contamination from pr</w:t>
      </w:r>
      <w:r w:rsidR="00E758B2">
        <w:t xml:space="preserve">evious owners. </w:t>
      </w:r>
      <w:r w:rsidR="008F1023">
        <w:t>Even financers</w:t>
      </w:r>
      <w:r w:rsidR="00E758B2">
        <w:t xml:space="preserve"> </w:t>
      </w:r>
      <w:r w:rsidR="00292B6C">
        <w:t>have concerns</w:t>
      </w:r>
      <w:r w:rsidR="00E758B2">
        <w:t xml:space="preserve"> as </w:t>
      </w:r>
      <w:r w:rsidR="00B051C3">
        <w:t>they</w:t>
      </w:r>
      <w:r w:rsidR="008F1023">
        <w:t xml:space="preserve"> </w:t>
      </w:r>
      <w:r w:rsidR="00292B6C">
        <w:t>risk assuming</w:t>
      </w:r>
      <w:r w:rsidR="008F1023">
        <w:t xml:space="preserve"> liability</w:t>
      </w:r>
      <w:r w:rsidR="00CE3CFD">
        <w:t xml:space="preserve"> for the site </w:t>
      </w:r>
      <w:r w:rsidR="00B051C3">
        <w:t>if the owner defaults on payments.</w:t>
      </w:r>
      <w:r w:rsidR="00CE3CFD">
        <w:t xml:space="preserve"> </w:t>
      </w:r>
    </w:p>
    <w:p w:rsidR="00CE3CFD" w:rsidRDefault="00CE3CFD" w:rsidP="00CB02CD">
      <w:pPr>
        <w:spacing w:line="480" w:lineRule="auto"/>
      </w:pPr>
      <w:r>
        <w:lastRenderedPageBreak/>
        <w:tab/>
        <w:t xml:space="preserve">The second significant challenge for brownfield redevelopment concerns </w:t>
      </w:r>
      <w:r w:rsidR="00363C4C">
        <w:t>the capital required</w:t>
      </w:r>
      <w:r>
        <w:t xml:space="preserve"> for the upfront costs associated </w:t>
      </w:r>
      <w:r w:rsidR="00E758B2">
        <w:t xml:space="preserve">with </w:t>
      </w:r>
      <w:r>
        <w:t>remediation and redevelopment</w:t>
      </w:r>
      <w:r w:rsidR="00B051C3">
        <w:t xml:space="preserve"> (NRTEE, 2003, p. 7)</w:t>
      </w:r>
      <w:r>
        <w:t xml:space="preserve">. Because developers of contaminated brownfields must pay to have their sites assessed, </w:t>
      </w:r>
      <w:r w:rsidR="00E758B2">
        <w:t xml:space="preserve">investigated and remediated </w:t>
      </w:r>
      <w:r w:rsidR="00B051C3">
        <w:t>before they can redevelop</w:t>
      </w:r>
      <w:r>
        <w:t xml:space="preserve">, </w:t>
      </w:r>
      <w:r w:rsidR="00363C4C">
        <w:t xml:space="preserve">they must </w:t>
      </w:r>
      <w:r w:rsidR="00292B6C">
        <w:t>acquire a</w:t>
      </w:r>
      <w:r w:rsidR="00363C4C">
        <w:t xml:space="preserve"> </w:t>
      </w:r>
      <w:r w:rsidR="00E758B2">
        <w:t>considerable amount of</w:t>
      </w:r>
      <w:r>
        <w:t xml:space="preserve"> capital to complete the project. As was previously mentioned, lenders often consider brownfields as high-risk investments</w:t>
      </w:r>
      <w:r w:rsidR="006157E8">
        <w:t xml:space="preserve"> </w:t>
      </w:r>
      <w:r w:rsidR="00363C4C">
        <w:t>and</w:t>
      </w:r>
      <w:r w:rsidR="006157E8">
        <w:t xml:space="preserve"> </w:t>
      </w:r>
      <w:r w:rsidR="00B577EE">
        <w:t xml:space="preserve">usually require assurance that their investment is worth the risk—something that developers cannot always </w:t>
      </w:r>
      <w:r w:rsidR="00363C4C">
        <w:t>provide</w:t>
      </w:r>
      <w:r w:rsidR="00D55566">
        <w:t xml:space="preserve">. </w:t>
      </w:r>
    </w:p>
    <w:p w:rsidR="002E1847" w:rsidRPr="00F709DE" w:rsidRDefault="00B051C3" w:rsidP="006878BF">
      <w:pPr>
        <w:spacing w:line="480" w:lineRule="auto"/>
      </w:pPr>
      <w:r>
        <w:tab/>
        <w:t>If</w:t>
      </w:r>
      <w:r w:rsidR="000A5624">
        <w:t xml:space="preserve"> the risk and lack of capital were not enough to dissuade potential developers from brownfield redevelopment, it is difficult to convince them to do so when it makes much more sense to develop </w:t>
      </w:r>
      <w:proofErr w:type="spellStart"/>
      <w:r w:rsidR="000A5624">
        <w:t>greenfields</w:t>
      </w:r>
      <w:proofErr w:type="spellEnd"/>
      <w:r w:rsidR="006157E8">
        <w:t>,</w:t>
      </w:r>
      <w:r w:rsidR="000A5624">
        <w:t xml:space="preserve"> </w:t>
      </w:r>
      <w:r w:rsidR="00363C4C">
        <w:t>which</w:t>
      </w:r>
      <w:r w:rsidR="000A5624">
        <w:t xml:space="preserve"> offer </w:t>
      </w:r>
      <w:r w:rsidR="00363C4C">
        <w:t xml:space="preserve">greater potential </w:t>
      </w:r>
      <w:r w:rsidR="000A5624">
        <w:t>profit for less time spent on the project.</w:t>
      </w:r>
    </w:p>
    <w:p w:rsidR="005D5A05" w:rsidRDefault="005D5A05" w:rsidP="00832360">
      <w:pPr>
        <w:rPr>
          <w:i/>
        </w:rPr>
      </w:pPr>
    </w:p>
    <w:p w:rsidR="005D5A05" w:rsidRDefault="005D5A05" w:rsidP="00832360">
      <w:pPr>
        <w:rPr>
          <w:i/>
        </w:rPr>
      </w:pPr>
      <w:r>
        <w:rPr>
          <w:i/>
        </w:rPr>
        <w:t>Opportunities</w:t>
      </w:r>
    </w:p>
    <w:p w:rsidR="005D5A05" w:rsidRDefault="005D5A05" w:rsidP="00832360">
      <w:pPr>
        <w:rPr>
          <w:i/>
        </w:rPr>
      </w:pPr>
    </w:p>
    <w:p w:rsidR="006157E8" w:rsidRDefault="007E117E" w:rsidP="007E117E">
      <w:pPr>
        <w:spacing w:line="480" w:lineRule="auto"/>
      </w:pPr>
      <w:r>
        <w:tab/>
        <w:t>While the challenges related to brownfields are sig</w:t>
      </w:r>
      <w:r w:rsidR="00423E3F">
        <w:t>nificant,</w:t>
      </w:r>
      <w:r>
        <w:t xml:space="preserve"> the opportunities for b</w:t>
      </w:r>
      <w:r w:rsidR="00423E3F">
        <w:t xml:space="preserve">rownfield redevelopment and the </w:t>
      </w:r>
      <w:r>
        <w:t xml:space="preserve">associated benefits to the economy, community and environment are </w:t>
      </w:r>
      <w:r w:rsidR="00363C4C">
        <w:t>considerable</w:t>
      </w:r>
      <w:r>
        <w:t xml:space="preserve">. </w:t>
      </w:r>
      <w:r w:rsidR="0017537A">
        <w:t>Some of the opportunities of brownfield redevelopment are related to the location of the site.</w:t>
      </w:r>
      <w:r w:rsidR="00412BB0">
        <w:t xml:space="preserve"> The NRTEE (2003) explains that brownfields are</w:t>
      </w:r>
      <w:r w:rsidR="0017537A">
        <w:t xml:space="preserve"> often located </w:t>
      </w:r>
      <w:r w:rsidR="00286571">
        <w:t xml:space="preserve">in easily accessible </w:t>
      </w:r>
      <w:r w:rsidR="0017537A">
        <w:t>transportation corridors in urban areas</w:t>
      </w:r>
      <w:r w:rsidR="00412BB0">
        <w:t xml:space="preserve"> </w:t>
      </w:r>
      <w:r w:rsidR="0017537A">
        <w:t xml:space="preserve">(p. 3). </w:t>
      </w:r>
      <w:r w:rsidR="00412BB0">
        <w:t>This can be explained by their pasts as commercial and industrial ventures that were located in areas easily accessed by the workers and clientele that frequented them. The</w:t>
      </w:r>
      <w:r w:rsidR="00363C4C">
        <w:t>ir</w:t>
      </w:r>
      <w:r w:rsidR="0017537A">
        <w:t xml:space="preserve"> location</w:t>
      </w:r>
      <w:r w:rsidR="00412BB0">
        <w:t xml:space="preserve"> within urban areas</w:t>
      </w:r>
      <w:r w:rsidR="0017537A">
        <w:t xml:space="preserve"> is </w:t>
      </w:r>
      <w:r w:rsidR="00E758B2">
        <w:t>a</w:t>
      </w:r>
      <w:r w:rsidR="0017537A">
        <w:t xml:space="preserve"> benefit to commun</w:t>
      </w:r>
      <w:r w:rsidR="00423E3F">
        <w:t>ities and developers as new developments</w:t>
      </w:r>
      <w:r w:rsidR="0017537A">
        <w:t xml:space="preserve"> can take advantage of ex</w:t>
      </w:r>
      <w:r w:rsidR="00423E3F">
        <w:t>isting municipal infrastructure</w:t>
      </w:r>
      <w:r w:rsidR="00412BB0">
        <w:t>, decreasing the cost of the project</w:t>
      </w:r>
      <w:r w:rsidR="00286571">
        <w:t xml:space="preserve"> (NRTEE, 2003, p. 3)</w:t>
      </w:r>
      <w:r w:rsidR="00423E3F">
        <w:t xml:space="preserve">. </w:t>
      </w:r>
    </w:p>
    <w:p w:rsidR="006878BF" w:rsidRDefault="006157E8" w:rsidP="007E117E">
      <w:pPr>
        <w:spacing w:line="480" w:lineRule="auto"/>
      </w:pPr>
      <w:r>
        <w:tab/>
      </w:r>
      <w:r w:rsidR="0017537A">
        <w:t xml:space="preserve">Additionally, by revitalizing </w:t>
      </w:r>
      <w:r w:rsidR="00A90E21">
        <w:t>abandoned and derelict sites</w:t>
      </w:r>
      <w:r w:rsidR="0017537A">
        <w:t xml:space="preserve"> within the city, the reuse of brownfields benefits cities by adding</w:t>
      </w:r>
      <w:r w:rsidR="00A90E21">
        <w:t xml:space="preserve"> to property tax</w:t>
      </w:r>
      <w:r w:rsidR="0017537A">
        <w:t xml:space="preserve"> revenue</w:t>
      </w:r>
      <w:r w:rsidR="00A90E21">
        <w:t>s</w:t>
      </w:r>
      <w:r w:rsidR="0017537A">
        <w:t xml:space="preserve">, </w:t>
      </w:r>
      <w:r w:rsidR="00A90E21">
        <w:t xml:space="preserve">promoting infilling </w:t>
      </w:r>
      <w:r w:rsidR="00363C4C">
        <w:t>(</w:t>
      </w:r>
      <w:r w:rsidR="00A90E21">
        <w:t xml:space="preserve">rather than </w:t>
      </w:r>
      <w:r w:rsidR="00A90E21">
        <w:lastRenderedPageBreak/>
        <w:t>urban sprawl</w:t>
      </w:r>
      <w:r w:rsidR="00363C4C">
        <w:t>)</w:t>
      </w:r>
      <w:r w:rsidR="00A90E21">
        <w:t xml:space="preserve"> and creating new jobs</w:t>
      </w:r>
      <w:r w:rsidR="00E758B2">
        <w:t>,</w:t>
      </w:r>
      <w:r w:rsidR="00A90E21">
        <w:t xml:space="preserve"> particularly in development and site remediation (NRTEE, 2003, p. 2). Rejuvenating sites </w:t>
      </w:r>
      <w:r w:rsidR="00E37F02">
        <w:t xml:space="preserve">can also </w:t>
      </w:r>
      <w:r w:rsidR="00A90E21">
        <w:t>raise neighbouring land values</w:t>
      </w:r>
      <w:r w:rsidR="00E37F02">
        <w:t xml:space="preserve"> and revitalize communities</w:t>
      </w:r>
      <w:r w:rsidR="00E758B2">
        <w:t>,</w:t>
      </w:r>
      <w:r w:rsidR="00A90E21">
        <w:t xml:space="preserve"> as </w:t>
      </w:r>
      <w:r w:rsidR="00E37F02">
        <w:t xml:space="preserve">unsightly and potentially contaminated brownfields are cleaned-up and turned into better places for both </w:t>
      </w:r>
      <w:r w:rsidR="00363C4C">
        <w:t>citizens</w:t>
      </w:r>
      <w:r w:rsidR="00E37F02">
        <w:t xml:space="preserve"> and the environment.</w:t>
      </w:r>
    </w:p>
    <w:p w:rsidR="006878BF" w:rsidRDefault="006878BF" w:rsidP="00832360"/>
    <w:p w:rsidR="005D5A05" w:rsidRDefault="005D5A05" w:rsidP="00832360">
      <w:pPr>
        <w:rPr>
          <w:b/>
        </w:rPr>
      </w:pPr>
      <w:r>
        <w:rPr>
          <w:b/>
        </w:rPr>
        <w:t>Interim Brownfield Usage: The YPN Community Gardens</w:t>
      </w:r>
    </w:p>
    <w:p w:rsidR="00465732" w:rsidRDefault="00465732" w:rsidP="00832360">
      <w:pPr>
        <w:rPr>
          <w:b/>
        </w:rPr>
      </w:pPr>
    </w:p>
    <w:p w:rsidR="00465732" w:rsidRDefault="00465732" w:rsidP="00465732">
      <w:pPr>
        <w:spacing w:line="480" w:lineRule="auto"/>
      </w:pPr>
      <w:r>
        <w:rPr>
          <w:b/>
        </w:rPr>
        <w:tab/>
      </w:r>
      <w:r>
        <w:t xml:space="preserve">Despite the benefits to society as a whole, the fact that most middle and bottom tier brownfields remain vacant </w:t>
      </w:r>
      <w:r w:rsidR="0056008D">
        <w:t>is indicative of</w:t>
      </w:r>
      <w:r w:rsidR="006157E8">
        <w:t xml:space="preserve"> the market</w:t>
      </w:r>
      <w:r>
        <w:t xml:space="preserve"> failing to effectively allocate the resources needed to </w:t>
      </w:r>
      <w:r w:rsidR="0056008D">
        <w:t>make use of</w:t>
      </w:r>
      <w:r w:rsidR="006157E8">
        <w:t xml:space="preserve"> these sites. I</w:t>
      </w:r>
      <w:r w:rsidR="0056008D">
        <w:t xml:space="preserve">f a price tag is attached to </w:t>
      </w:r>
      <w:r w:rsidR="006157E8">
        <w:t xml:space="preserve">all </w:t>
      </w:r>
      <w:r w:rsidR="0056008D">
        <w:t>the benefits of redevelopment including</w:t>
      </w:r>
      <w:r>
        <w:t xml:space="preserve"> improved health of environments and communities; </w:t>
      </w:r>
      <w:r w:rsidR="00F96271">
        <w:t xml:space="preserve">preservation of </w:t>
      </w:r>
      <w:proofErr w:type="spellStart"/>
      <w:r w:rsidR="00F96271">
        <w:t>greenfields</w:t>
      </w:r>
      <w:proofErr w:type="spellEnd"/>
      <w:r>
        <w:t xml:space="preserve">; and </w:t>
      </w:r>
      <w:r w:rsidR="0056008D">
        <w:t>increased</w:t>
      </w:r>
      <w:r>
        <w:t xml:space="preserve"> tax revenue, land value and job creation</w:t>
      </w:r>
      <w:r w:rsidR="0056008D">
        <w:t>,</w:t>
      </w:r>
      <w:r>
        <w:t xml:space="preserve"> </w:t>
      </w:r>
      <w:r w:rsidR="0056008D">
        <w:t>it becomes clear that redevelopment has a very favourable cost-benefit ratio</w:t>
      </w:r>
      <w:r w:rsidR="006157E8">
        <w:t xml:space="preserve"> </w:t>
      </w:r>
      <w:r w:rsidR="00EA7213">
        <w:t xml:space="preserve">(Hara, 2003, </w:t>
      </w:r>
      <w:proofErr w:type="spellStart"/>
      <w:r w:rsidR="00EA7213">
        <w:t>p.i</w:t>
      </w:r>
      <w:proofErr w:type="spellEnd"/>
      <w:r w:rsidR="00EA7213">
        <w:t>-ii). Yet,</w:t>
      </w:r>
      <w:r w:rsidR="008A34C2">
        <w:t xml:space="preserve"> many of these benefits are externalities to brownfield redevelopment that are not included in</w:t>
      </w:r>
      <w:r w:rsidR="00A52CDB">
        <w:t xml:space="preserve"> assessments of</w:t>
      </w:r>
      <w:r w:rsidR="008A34C2">
        <w:t xml:space="preserve"> the fina</w:t>
      </w:r>
      <w:r w:rsidR="00412BB0">
        <w:t>l value of the redeveloped land. Consequently, the market fails to offer</w:t>
      </w:r>
      <w:r w:rsidR="008A34C2">
        <w:t xml:space="preserve"> enough incentive to brownfield owners, developers or end-of-project owner</w:t>
      </w:r>
      <w:r w:rsidR="00412BB0">
        <w:t>s to accept the risks and challenges</w:t>
      </w:r>
      <w:r w:rsidR="006157E8">
        <w:t xml:space="preserve"> of the site</w:t>
      </w:r>
      <w:r w:rsidR="00412BB0">
        <w:t>.</w:t>
      </w:r>
      <w:r w:rsidR="008A34C2">
        <w:t xml:space="preserve"> </w:t>
      </w:r>
    </w:p>
    <w:p w:rsidR="00D56DC4" w:rsidRDefault="008A34C2" w:rsidP="00465732">
      <w:pPr>
        <w:spacing w:line="480" w:lineRule="auto"/>
      </w:pPr>
      <w:r>
        <w:tab/>
      </w:r>
      <w:r w:rsidR="00224F15">
        <w:t>Interim uses of brownfield</w:t>
      </w:r>
      <w:r w:rsidR="005930C7">
        <w:t>s</w:t>
      </w:r>
      <w:r w:rsidR="00224F15">
        <w:t xml:space="preserve"> offer a temporary solution to </w:t>
      </w:r>
      <w:r w:rsidR="005930C7">
        <w:t xml:space="preserve">the challenges of sites that are difficult to redevelop. </w:t>
      </w:r>
      <w:r w:rsidR="00A52CDB">
        <w:t xml:space="preserve">The </w:t>
      </w:r>
      <w:r w:rsidR="005930C7">
        <w:t>inte</w:t>
      </w:r>
      <w:r w:rsidR="00412BB0">
        <w:t>rim use of a brownfield benefits communities</w:t>
      </w:r>
      <w:r w:rsidR="005930C7">
        <w:t xml:space="preserve"> by offering a service and contributing to the economy while remaining provisional. This kind of temporary use can be helpful for middle and bottom tier brownfields</w:t>
      </w:r>
      <w:r w:rsidR="00A52CDB">
        <w:t>,</w:t>
      </w:r>
      <w:r w:rsidR="007E1DE1">
        <w:t xml:space="preserve"> as owners who are waiting for markets to improve</w:t>
      </w:r>
      <w:r w:rsidR="00412BB0">
        <w:t xml:space="preserve"> </w:t>
      </w:r>
      <w:r w:rsidR="007E1DE1">
        <w:t>can still</w:t>
      </w:r>
      <w:r w:rsidR="00412BB0">
        <w:t xml:space="preserve"> make</w:t>
      </w:r>
      <w:r w:rsidR="007E1DE1">
        <w:t xml:space="preserve"> use </w:t>
      </w:r>
      <w:r w:rsidR="00412BB0">
        <w:t xml:space="preserve">of </w:t>
      </w:r>
      <w:r w:rsidR="007E1DE1">
        <w:t xml:space="preserve">the site until the time is right for redevelopment. The interim uses that are possible on brownfields vary from site to site due to differing degrees of contamination. Possible interim uses include </w:t>
      </w:r>
      <w:r w:rsidR="006157E8">
        <w:t xml:space="preserve">creating </w:t>
      </w:r>
      <w:proofErr w:type="spellStart"/>
      <w:r w:rsidR="007E1DE1">
        <w:t>greenspaces</w:t>
      </w:r>
      <w:proofErr w:type="spellEnd"/>
      <w:r w:rsidR="007E1DE1">
        <w:t xml:space="preserve">, parking lots, </w:t>
      </w:r>
      <w:proofErr w:type="spellStart"/>
      <w:r w:rsidR="007E1DE1">
        <w:t>brightfields</w:t>
      </w:r>
      <w:proofErr w:type="spellEnd"/>
      <w:r w:rsidR="007E1DE1">
        <w:t xml:space="preserve"> (installations of solar panels), </w:t>
      </w:r>
      <w:r w:rsidR="00D56DC4">
        <w:t xml:space="preserve">cafes, galleries, </w:t>
      </w:r>
      <w:r w:rsidR="007E1DE1">
        <w:t>potted plant nurseries</w:t>
      </w:r>
      <w:r w:rsidR="006157E8">
        <w:t xml:space="preserve"> and community gardens</w:t>
      </w:r>
      <w:r w:rsidR="00D56DC4">
        <w:t xml:space="preserve">. In Nanaimo, BC, </w:t>
      </w:r>
      <w:r w:rsidR="00D56DC4">
        <w:lastRenderedPageBreak/>
        <w:t xml:space="preserve">the Young Professionals of Nanaimo (YPN) Community Gardens provide an interesting example of the community benefits granted by </w:t>
      </w:r>
      <w:r w:rsidR="00A52CDB">
        <w:t>the</w:t>
      </w:r>
      <w:r w:rsidR="00D56DC4">
        <w:t xml:space="preserve"> interim use of an abandoned gas station lot.</w:t>
      </w:r>
    </w:p>
    <w:p w:rsidR="008A34C2" w:rsidRDefault="00D56DC4" w:rsidP="00465732">
      <w:pPr>
        <w:spacing w:line="480" w:lineRule="auto"/>
      </w:pPr>
      <w:r>
        <w:tab/>
        <w:t xml:space="preserve"> </w:t>
      </w:r>
      <w:r w:rsidR="00F6027E">
        <w:t>The YPN is a non-profit organization that facilitates networking and community involvement amongst young professional</w:t>
      </w:r>
      <w:r w:rsidR="00302BE7">
        <w:t>s in the city. In 2011, the YPN, interested in promoting food security and healthy eating</w:t>
      </w:r>
      <w:r w:rsidR="00312336">
        <w:t xml:space="preserve"> in the city</w:t>
      </w:r>
      <w:r w:rsidR="00302BE7">
        <w:t xml:space="preserve">, started a project to establish more community gardens in Nanaimo. </w:t>
      </w:r>
      <w:r w:rsidR="00A50C0D">
        <w:t xml:space="preserve">Their aim was to use their networking abilities to set up gardens that would eventually be </w:t>
      </w:r>
      <w:r w:rsidR="00292B6C">
        <w:t>maintai</w:t>
      </w:r>
      <w:r w:rsidR="00A52CDB">
        <w:t>ned by the communities in which they were located</w:t>
      </w:r>
      <w:r w:rsidR="00A50C0D">
        <w:t xml:space="preserve">. </w:t>
      </w:r>
      <w:r w:rsidR="00302BE7">
        <w:t xml:space="preserve">The organization </w:t>
      </w:r>
      <w:r w:rsidR="00312336">
        <w:t>identified brownfield sites</w:t>
      </w:r>
      <w:r w:rsidR="00E44105">
        <w:t xml:space="preserve"> as potential locations for the community garden</w:t>
      </w:r>
      <w:r w:rsidR="00312336">
        <w:t>s, in part to make use of a vacant space but also</w:t>
      </w:r>
      <w:r w:rsidR="00E44105">
        <w:t xml:space="preserve"> to beautify the city</w:t>
      </w:r>
      <w:r w:rsidR="00312336">
        <w:t xml:space="preserve">. The YPN also explained that they liked the choice of abandoned gas station lots </w:t>
      </w:r>
      <w:r w:rsidR="00E44105">
        <w:t xml:space="preserve">because of the positive symbolism of </w:t>
      </w:r>
      <w:r w:rsidR="00A52CDB">
        <w:t>trans</w:t>
      </w:r>
      <w:r w:rsidR="00292B6C">
        <w:t>f</w:t>
      </w:r>
      <w:r w:rsidR="00A52CDB">
        <w:t>orming</w:t>
      </w:r>
      <w:r w:rsidR="00312336">
        <w:t xml:space="preserve"> them into</w:t>
      </w:r>
      <w:r w:rsidR="00E44105">
        <w:t xml:space="preserve"> garden</w:t>
      </w:r>
      <w:r w:rsidR="00312336">
        <w:t>s</w:t>
      </w:r>
      <w:r w:rsidR="00E44105">
        <w:t xml:space="preserve"> (Gorman, 2011, </w:t>
      </w:r>
      <w:proofErr w:type="spellStart"/>
      <w:r w:rsidR="00E44105">
        <w:t>para</w:t>
      </w:r>
      <w:proofErr w:type="spellEnd"/>
      <w:r w:rsidR="00E44105">
        <w:t>. 11).</w:t>
      </w:r>
      <w:r w:rsidR="00302BE7">
        <w:t xml:space="preserve"> </w:t>
      </w:r>
      <w:r w:rsidR="00312336">
        <w:t xml:space="preserve">Through negotiations with property owners, the YPN were able to establish a </w:t>
      </w:r>
      <w:r w:rsidR="00F6027E">
        <w:t>five-year lease with Imperial Oil to use its abandoned property on</w:t>
      </w:r>
      <w:r w:rsidR="00AE6B62">
        <w:t xml:space="preserve"> Turner Road in </w:t>
      </w:r>
      <w:r w:rsidR="00A52CDB">
        <w:t>N</w:t>
      </w:r>
      <w:r w:rsidR="00AE6B62">
        <w:t xml:space="preserve">orth Nanaimo and </w:t>
      </w:r>
      <w:r w:rsidR="006157E8">
        <w:t xml:space="preserve">also </w:t>
      </w:r>
      <w:r w:rsidR="00AE6B62">
        <w:t xml:space="preserve">had a brownfield temporarily donated on the corner of Needham and Irwin in </w:t>
      </w:r>
      <w:r w:rsidR="00A52CDB">
        <w:t>S</w:t>
      </w:r>
      <w:r w:rsidR="00AE6B62">
        <w:t>outh Nanaimo</w:t>
      </w:r>
      <w:r w:rsidR="00E44105">
        <w:t xml:space="preserve"> (Barron, 2011, </w:t>
      </w:r>
      <w:proofErr w:type="spellStart"/>
      <w:r w:rsidR="00E44105">
        <w:t>para</w:t>
      </w:r>
      <w:proofErr w:type="spellEnd"/>
      <w:r w:rsidR="00E44105">
        <w:t>. 2)</w:t>
      </w:r>
      <w:r w:rsidR="00C15350">
        <w:t>.</w:t>
      </w:r>
    </w:p>
    <w:p w:rsidR="00C15350" w:rsidRDefault="00C15350" w:rsidP="00465732">
      <w:pPr>
        <w:spacing w:line="480" w:lineRule="auto"/>
      </w:pPr>
      <w:r>
        <w:tab/>
      </w:r>
      <w:r w:rsidR="00312336">
        <w:t>In the summer of 2011, t</w:t>
      </w:r>
      <w:r>
        <w:t>he two gardens were built with volunteer help from the YPN and community members, donations from local businesses and support from the City of Nanaimo. Because of the risk of contamination, all garden plots were raised above ground and new soil was brought in to fill beds. The site is</w:t>
      </w:r>
      <w:r w:rsidR="00312336">
        <w:t xml:space="preserve"> now run by volunteers and </w:t>
      </w:r>
      <w:r w:rsidR="006157E8">
        <w:t>plots are available</w:t>
      </w:r>
      <w:r w:rsidR="00BE3472">
        <w:t xml:space="preserve"> to the public for $30/year</w:t>
      </w:r>
      <w:r>
        <w:t xml:space="preserve">. In addition to individual plots, the YPN has also set aside beds that volunteers use to grow produce for the Loaves and Fishes food bank in Nanaimo (YPN Community Gardens, 2011). </w:t>
      </w:r>
      <w:r w:rsidR="008A27F6">
        <w:t>As of Ma</w:t>
      </w:r>
      <w:r w:rsidR="00312336">
        <w:t>rch 2012, all plots are being used</w:t>
      </w:r>
      <w:r w:rsidR="008A27F6">
        <w:t xml:space="preserve"> in the north end garden. </w:t>
      </w:r>
    </w:p>
    <w:p w:rsidR="00C06554" w:rsidRDefault="00C06554" w:rsidP="00465732">
      <w:pPr>
        <w:spacing w:line="480" w:lineRule="auto"/>
      </w:pPr>
      <w:r>
        <w:rPr>
          <w:rFonts w:ascii="Arial" w:hAnsi="Arial" w:cs="Arial"/>
          <w:noProof/>
          <w:sz w:val="20"/>
          <w:szCs w:val="20"/>
          <w:lang w:eastAsia="en-CA" w:bidi="ar-SA"/>
        </w:rPr>
        <w:lastRenderedPageBreak/>
        <w:drawing>
          <wp:inline distT="0" distB="0" distL="0" distR="0">
            <wp:extent cx="3870822" cy="2900533"/>
            <wp:effectExtent l="95250" t="76200" r="91578" b="71267"/>
            <wp:docPr id="1" name="il_fi" descr="http://www.abcprecast.ca/assets/uploads/ypn_community_gardens_sept_2_1264.jpg?ts=131560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precast.ca/assets/uploads/ypn_community_gardens_sept_2_1264.jpg?ts=1315605353"/>
                    <pic:cNvPicPr>
                      <a:picLocks noChangeAspect="1" noChangeArrowheads="1"/>
                    </pic:cNvPicPr>
                  </pic:nvPicPr>
                  <pic:blipFill>
                    <a:blip r:embed="rId8" cstate="print"/>
                    <a:srcRect/>
                    <a:stretch>
                      <a:fillRect/>
                    </a:stretch>
                  </pic:blipFill>
                  <pic:spPr bwMode="auto">
                    <a:xfrm>
                      <a:off x="0" y="0"/>
                      <a:ext cx="3868686" cy="28989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06554" w:rsidRPr="00C06554" w:rsidRDefault="00C06554" w:rsidP="00465732">
      <w:pPr>
        <w:spacing w:line="480" w:lineRule="auto"/>
        <w:rPr>
          <w:b/>
        </w:rPr>
      </w:pPr>
      <w:r>
        <w:rPr>
          <w:b/>
        </w:rPr>
        <w:t>YPN Community Garden in South Nanaimo</w:t>
      </w:r>
    </w:p>
    <w:p w:rsidR="00C06554" w:rsidRDefault="00C06554" w:rsidP="00465732">
      <w:pPr>
        <w:spacing w:line="480" w:lineRule="auto"/>
      </w:pPr>
      <w:r>
        <w:t>(ABC Precast &amp; Ready Mix Ltd., 2011)</w:t>
      </w:r>
    </w:p>
    <w:p w:rsidR="00C06554" w:rsidRDefault="00C06554" w:rsidP="00C06554">
      <w:pPr>
        <w:spacing w:line="480" w:lineRule="auto"/>
        <w:jc w:val="right"/>
      </w:pPr>
      <w:r>
        <w:rPr>
          <w:rFonts w:ascii="Arial" w:hAnsi="Arial" w:cs="Arial"/>
          <w:noProof/>
          <w:sz w:val="20"/>
          <w:szCs w:val="20"/>
          <w:lang w:eastAsia="en-CA" w:bidi="ar-SA"/>
        </w:rPr>
        <w:drawing>
          <wp:inline distT="0" distB="0" distL="0" distR="0">
            <wp:extent cx="4004103" cy="3008523"/>
            <wp:effectExtent l="114300" t="76200" r="91647" b="77577"/>
            <wp:docPr id="4" name="il_fi" descr="http://energydiet.canadiangeographic.ca/images/library/800/800/0_D2H5372.jpg/13211351117221132113507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ergydiet.canadiangeographic.ca/images/library/800/800/0_D2H5372.jpg/13211351117221132113507294.jpg"/>
                    <pic:cNvPicPr>
                      <a:picLocks noChangeAspect="1" noChangeArrowheads="1"/>
                    </pic:cNvPicPr>
                  </pic:nvPicPr>
                  <pic:blipFill>
                    <a:blip r:embed="rId9" cstate="print"/>
                    <a:srcRect/>
                    <a:stretch>
                      <a:fillRect/>
                    </a:stretch>
                  </pic:blipFill>
                  <pic:spPr bwMode="auto">
                    <a:xfrm>
                      <a:off x="0" y="0"/>
                      <a:ext cx="4015966" cy="30174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06554" w:rsidRDefault="00C06554" w:rsidP="00C06554">
      <w:pPr>
        <w:spacing w:line="480" w:lineRule="auto"/>
        <w:jc w:val="right"/>
        <w:rPr>
          <w:b/>
        </w:rPr>
      </w:pPr>
      <w:r>
        <w:rPr>
          <w:b/>
        </w:rPr>
        <w:t>YPN Community Garden in North Nanaimo</w:t>
      </w:r>
    </w:p>
    <w:p w:rsidR="00C06554" w:rsidRPr="00C06554" w:rsidRDefault="00C06554" w:rsidP="00C06554">
      <w:pPr>
        <w:spacing w:line="480" w:lineRule="auto"/>
        <w:jc w:val="right"/>
      </w:pPr>
      <w:r>
        <w:t>(</w:t>
      </w:r>
      <w:proofErr w:type="spellStart"/>
      <w:r>
        <w:t>Belbin</w:t>
      </w:r>
      <w:proofErr w:type="spellEnd"/>
      <w:r>
        <w:t xml:space="preserve"> Household, 2011</w:t>
      </w:r>
      <w:r w:rsidR="00071AD5">
        <w:t>)</w:t>
      </w:r>
    </w:p>
    <w:p w:rsidR="005D5A05" w:rsidRDefault="005D5A05" w:rsidP="00832360">
      <w:pPr>
        <w:rPr>
          <w:b/>
        </w:rPr>
      </w:pPr>
    </w:p>
    <w:p w:rsidR="00A50C0D" w:rsidRDefault="005D5A05" w:rsidP="00A50C0D">
      <w:pPr>
        <w:rPr>
          <w:i/>
        </w:rPr>
      </w:pPr>
      <w:r>
        <w:rPr>
          <w:i/>
        </w:rPr>
        <w:lastRenderedPageBreak/>
        <w:t>Strengths</w:t>
      </w:r>
      <w:r w:rsidR="00A50C0D">
        <w:rPr>
          <w:i/>
        </w:rPr>
        <w:t xml:space="preserve"> of the Approach</w:t>
      </w:r>
      <w:r w:rsidR="00A50C0D">
        <w:rPr>
          <w:i/>
        </w:rPr>
        <w:br/>
      </w:r>
    </w:p>
    <w:p w:rsidR="00B77893" w:rsidRDefault="00A50C0D" w:rsidP="00B77893">
      <w:pPr>
        <w:spacing w:line="480" w:lineRule="auto"/>
      </w:pPr>
      <w:r>
        <w:rPr>
          <w:i/>
        </w:rPr>
        <w:tab/>
      </w:r>
      <w:r w:rsidR="00B77893">
        <w:t xml:space="preserve">There </w:t>
      </w:r>
      <w:r w:rsidR="00BE3472">
        <w:t>are many strengths</w:t>
      </w:r>
      <w:r w:rsidR="00B77893">
        <w:t xml:space="preserve"> to the YPN’s approach of implementing community gardens as an interim brownfield use. </w:t>
      </w:r>
      <w:r>
        <w:t>The primary strength of this interim use is that it converts a community burden into a community asset while still leaving the potential for future redevelopment of the site. The conversion of the vacant lots into</w:t>
      </w:r>
      <w:r w:rsidR="00BE3472">
        <w:t xml:space="preserve"> </w:t>
      </w:r>
      <w:r>
        <w:t xml:space="preserve">gardens creates a space that is both beautiful and </w:t>
      </w:r>
      <w:r w:rsidR="00415FB2">
        <w:t>beneficial</w:t>
      </w:r>
      <w:r>
        <w:t xml:space="preserve"> to the surrounding community.</w:t>
      </w:r>
      <w:r w:rsidR="00AD5A7E">
        <w:t xml:space="preserve"> </w:t>
      </w:r>
      <w:r w:rsidR="00DB4332">
        <w:t xml:space="preserve"> Revitalizing vacant lots also has the benefit of decreasing crime in neighbourhoods</w:t>
      </w:r>
      <w:r w:rsidR="00BE3472">
        <w:t>,</w:t>
      </w:r>
      <w:r w:rsidR="00DB4332">
        <w:t xml:space="preserve"> as the site is used more often an</w:t>
      </w:r>
      <w:r w:rsidR="009478A3">
        <w:t>d people tend to take care of</w:t>
      </w:r>
      <w:r w:rsidR="00DB4332">
        <w:t xml:space="preserve"> things that they value.</w:t>
      </w:r>
      <w:r>
        <w:t xml:space="preserve"> Seeing positive change in communities through the use of brownfields also helps to </w:t>
      </w:r>
      <w:r w:rsidR="00BE3472">
        <w:t>miti</w:t>
      </w:r>
      <w:r w:rsidR="00292B6C">
        <w:t>ga</w:t>
      </w:r>
      <w:r w:rsidR="00BE3472">
        <w:t>te</w:t>
      </w:r>
      <w:r>
        <w:t xml:space="preserve"> the stigma again</w:t>
      </w:r>
      <w:r w:rsidR="00415FB2">
        <w:t>st brownfields, causing</w:t>
      </w:r>
      <w:r w:rsidR="00DB4332">
        <w:t xml:space="preserve"> developers to see opp</w:t>
      </w:r>
      <w:r w:rsidR="00292B6C">
        <w:t>ortunities in redevelopment and</w:t>
      </w:r>
      <w:r w:rsidR="00BE3472">
        <w:t xml:space="preserve"> the potential </w:t>
      </w:r>
      <w:r w:rsidR="00DB4332">
        <w:t>for</w:t>
      </w:r>
      <w:r w:rsidR="00415FB2">
        <w:t xml:space="preserve"> future </w:t>
      </w:r>
      <w:r>
        <w:t xml:space="preserve">redevelopment projects to </w:t>
      </w:r>
      <w:r w:rsidR="00BE3472">
        <w:t>face</w:t>
      </w:r>
      <w:r w:rsidR="00415FB2">
        <w:t xml:space="preserve"> less opposition. </w:t>
      </w:r>
      <w:r w:rsidR="009478A3">
        <w:t>B</w:t>
      </w:r>
      <w:r w:rsidR="00DB4332">
        <w:t>eautification of once blighted site</w:t>
      </w:r>
      <w:r w:rsidR="009478A3">
        <w:t>s</w:t>
      </w:r>
      <w:r w:rsidR="00DB4332">
        <w:t xml:space="preserve"> also helps to raise properties values in the immediate area.</w:t>
      </w:r>
      <w:r w:rsidR="00AD5A7E">
        <w:t xml:space="preserve"> Finally, a significant </w:t>
      </w:r>
      <w:r w:rsidR="00BE3472">
        <w:t>strength</w:t>
      </w:r>
      <w:r w:rsidR="00AD5A7E">
        <w:t xml:space="preserve"> of this approach is that it has the potential to be r</w:t>
      </w:r>
      <w:r w:rsidR="006157E8">
        <w:t>eplicated in other cities</w:t>
      </w:r>
      <w:r w:rsidR="00F63866">
        <w:t>.</w:t>
      </w:r>
    </w:p>
    <w:p w:rsidR="00B77893" w:rsidRDefault="00B77893" w:rsidP="00832360"/>
    <w:p w:rsidR="005D5A05" w:rsidRDefault="005D5A05" w:rsidP="00832360">
      <w:pPr>
        <w:rPr>
          <w:i/>
        </w:rPr>
      </w:pPr>
      <w:r>
        <w:rPr>
          <w:i/>
        </w:rPr>
        <w:t>Weaknesses</w:t>
      </w:r>
      <w:r w:rsidR="00A50C0D">
        <w:rPr>
          <w:i/>
        </w:rPr>
        <w:t xml:space="preserve"> of the Approach</w:t>
      </w:r>
    </w:p>
    <w:p w:rsidR="00693A0C" w:rsidRDefault="00693A0C" w:rsidP="00832360">
      <w:pPr>
        <w:rPr>
          <w:i/>
        </w:rPr>
      </w:pPr>
    </w:p>
    <w:p w:rsidR="00693A0C" w:rsidRDefault="00E035DD" w:rsidP="0055262F">
      <w:pPr>
        <w:spacing w:line="480" w:lineRule="auto"/>
      </w:pPr>
      <w:r>
        <w:rPr>
          <w:i/>
        </w:rPr>
        <w:tab/>
      </w:r>
      <w:r w:rsidR="009478A3">
        <w:t>A</w:t>
      </w:r>
      <w:r w:rsidR="00DA48C9">
        <w:t xml:space="preserve"> weakness of the interim use of brownfields, including their use as community gardens, is that they are only temporary solutions to the problem of brownfields in cities. There is no requirement for interim users to remediate sites; therefore, successful interim use may prolong the time the brownfield site is left contaminated. Along the same line, community gardens are public spaces that are often well-loved by the surrounding community. Because of </w:t>
      </w:r>
      <w:r w:rsidR="00F63866">
        <w:t>this</w:t>
      </w:r>
      <w:r w:rsidR="00DA48C9">
        <w:t xml:space="preserve">, when the owner of a site decides it is time to redevelop, he or she may be met with opposition from the community that stalls the remediation of the site and its eventual redevelopment. </w:t>
      </w:r>
    </w:p>
    <w:p w:rsidR="00DA48C9" w:rsidRDefault="00DA48C9" w:rsidP="0055262F">
      <w:pPr>
        <w:spacing w:line="480" w:lineRule="auto"/>
      </w:pPr>
      <w:r>
        <w:tab/>
        <w:t>Another weakness of the approach of community gardens on brownfields is that there is stigma within</w:t>
      </w:r>
      <w:r w:rsidR="009478A3">
        <w:t xml:space="preserve"> the community of the dangers of</w:t>
      </w:r>
      <w:r>
        <w:t xml:space="preserve"> food grown on</w:t>
      </w:r>
      <w:r w:rsidR="0055262F">
        <w:t xml:space="preserve"> contaminated</w:t>
      </w:r>
      <w:r>
        <w:t xml:space="preserve"> site</w:t>
      </w:r>
      <w:r w:rsidR="0055262F">
        <w:t>s</w:t>
      </w:r>
      <w:r>
        <w:t xml:space="preserve">. The YPN, for </w:t>
      </w:r>
      <w:r>
        <w:lastRenderedPageBreak/>
        <w:t>example, has had to do</w:t>
      </w:r>
      <w:r w:rsidR="00F63866">
        <w:t xml:space="preserve"> a</w:t>
      </w:r>
      <w:r>
        <w:t xml:space="preserve"> significant</w:t>
      </w:r>
      <w:r w:rsidR="00F63866">
        <w:t xml:space="preserve"> amount of</w:t>
      </w:r>
      <w:r>
        <w:t xml:space="preserve"> advertising in local newspapers of their risk-assessment process as they </w:t>
      </w:r>
      <w:r w:rsidR="00F63866">
        <w:t xml:space="preserve">faced some initial </w:t>
      </w:r>
      <w:r>
        <w:t xml:space="preserve">opposition </w:t>
      </w:r>
      <w:r w:rsidR="0055262F">
        <w:t xml:space="preserve">and concern from the community. </w:t>
      </w:r>
      <w:r w:rsidR="00F63866">
        <w:t>In the end, despite these efforts</w:t>
      </w:r>
      <w:r w:rsidR="0055262F">
        <w:t xml:space="preserve">, some community members remain unconvinced. </w:t>
      </w:r>
    </w:p>
    <w:p w:rsidR="0055262F" w:rsidRDefault="00292B6C" w:rsidP="0055262F">
      <w:pPr>
        <w:spacing w:line="480" w:lineRule="auto"/>
      </w:pPr>
      <w:r>
        <w:tab/>
        <w:t>A lack of resources and a lack of</w:t>
      </w:r>
      <w:r w:rsidR="00A56A8A">
        <w:t xml:space="preserve"> willingness from</w:t>
      </w:r>
      <w:r w:rsidR="0055262F">
        <w:t xml:space="preserve"> property owner</w:t>
      </w:r>
      <w:r w:rsidR="00A56A8A">
        <w:t>s</w:t>
      </w:r>
      <w:r w:rsidR="0055262F">
        <w:t xml:space="preserve"> </w:t>
      </w:r>
      <w:r w:rsidR="00A56A8A">
        <w:t xml:space="preserve">provide further obstacles to this </w:t>
      </w:r>
      <w:r w:rsidR="0055262F">
        <w:t xml:space="preserve">approach. In general, there is a lack of incentive for property owners to </w:t>
      </w:r>
      <w:r w:rsidR="00A56A8A">
        <w:t>allow</w:t>
      </w:r>
      <w:r w:rsidR="0055262F">
        <w:t xml:space="preserve"> interim uses such as community gardens. In the case of the YPN Community Gardens, </w:t>
      </w:r>
      <w:r w:rsidR="00A56A8A">
        <w:t>the YPN first</w:t>
      </w:r>
      <w:r w:rsidR="0055262F">
        <w:t xml:space="preserve"> had to convince property owners to lease their sites for very little compensation ($1 per year) and then had to fundraise and apply for grants to build the garden</w:t>
      </w:r>
      <w:r w:rsidR="006157E8">
        <w:t>s</w:t>
      </w:r>
      <w:r w:rsidR="0055262F">
        <w:t>. Unless organizations or private ventures provide the financial resources to start a community garden, there is little financial incentive for brownfield owner</w:t>
      </w:r>
      <w:r w:rsidR="00532B23">
        <w:t>s</w:t>
      </w:r>
      <w:r w:rsidR="009478A3">
        <w:t xml:space="preserve"> to implement one </w:t>
      </w:r>
      <w:r w:rsidR="0055262F">
        <w:t xml:space="preserve">themselves. </w:t>
      </w:r>
    </w:p>
    <w:p w:rsidR="0032262F" w:rsidRDefault="0032262F" w:rsidP="0032262F">
      <w:pPr>
        <w:autoSpaceDE w:val="0"/>
        <w:autoSpaceDN w:val="0"/>
        <w:adjustRightInd w:val="0"/>
        <w:rPr>
          <w:rFonts w:ascii="TimesNewRoman" w:hAnsi="TimesNewRoman" w:cs="TimesNewRoman"/>
          <w:lang w:bidi="ar-SA"/>
        </w:rPr>
      </w:pPr>
    </w:p>
    <w:p w:rsidR="0032262F" w:rsidRDefault="0032262F" w:rsidP="00532B23">
      <w:pPr>
        <w:rPr>
          <w:i/>
        </w:rPr>
      </w:pPr>
      <w:r w:rsidRPr="00532B23">
        <w:rPr>
          <w:i/>
        </w:rPr>
        <w:t>Recommendations</w:t>
      </w:r>
    </w:p>
    <w:p w:rsidR="00532B23" w:rsidRDefault="00532B23" w:rsidP="00532B23">
      <w:pPr>
        <w:rPr>
          <w:i/>
        </w:rPr>
      </w:pPr>
    </w:p>
    <w:p w:rsidR="000E4230" w:rsidRDefault="000E4230" w:rsidP="00321C24">
      <w:pPr>
        <w:spacing w:line="480" w:lineRule="auto"/>
      </w:pPr>
      <w:r>
        <w:tab/>
        <w:t xml:space="preserve">While the strengths and weaknesses identified were written specifically for the YPN’s interim approach, </w:t>
      </w:r>
      <w:r w:rsidR="00321C24">
        <w:t>the recommendations provided</w:t>
      </w:r>
      <w:r>
        <w:t xml:space="preserve"> c</w:t>
      </w:r>
      <w:r w:rsidR="00321C24">
        <w:t>an</w:t>
      </w:r>
      <w:r>
        <w:t xml:space="preserve"> be applied to other interim uses</w:t>
      </w:r>
      <w:r w:rsidR="00321C24">
        <w:t xml:space="preserve">. </w:t>
      </w:r>
      <w:r w:rsidR="00326375">
        <w:t xml:space="preserve">The first recommendation is that municipalities should write policies for interim use and make the process as clear as possible. This could also include a searchable database of brownfields available for interim use within the region. The less bureaucracy interested parties must experience, the more likely that interim brownfield use will be considered a viable opportunity. </w:t>
      </w:r>
    </w:p>
    <w:p w:rsidR="00326375" w:rsidRDefault="00326375" w:rsidP="00321C24">
      <w:pPr>
        <w:spacing w:line="480" w:lineRule="auto"/>
      </w:pPr>
      <w:r>
        <w:tab/>
        <w:t xml:space="preserve">In order to support interim use of brownfields, municipalities should offer incentives for property owners to convert vacant properties to interim uses. Incentives could take the form of tax breaks or grants. </w:t>
      </w:r>
      <w:r w:rsidR="00A56A8A">
        <w:t>Taking this concept further</w:t>
      </w:r>
      <w:r>
        <w:t xml:space="preserve">, municipalities could provide </w:t>
      </w:r>
      <w:r w:rsidR="00F1249C">
        <w:t xml:space="preserve">financial </w:t>
      </w:r>
      <w:r>
        <w:t>disincentiv</w:t>
      </w:r>
      <w:r w:rsidR="00F1249C">
        <w:t>es to leaving properties vacant to encourage interim use of sites.</w:t>
      </w:r>
      <w:r>
        <w:t xml:space="preserve"> </w:t>
      </w:r>
    </w:p>
    <w:p w:rsidR="000C1B2E" w:rsidRPr="00F1249C" w:rsidRDefault="00F1249C" w:rsidP="00F1249C">
      <w:pPr>
        <w:spacing w:line="480" w:lineRule="auto"/>
      </w:pPr>
      <w:r>
        <w:tab/>
        <w:t>Finally, to</w:t>
      </w:r>
      <w:r w:rsidR="00292B6C">
        <w:t xml:space="preserve"> </w:t>
      </w:r>
      <w:r>
        <w:t xml:space="preserve">mitigate public resistance to redevelopment of interim community spaces, property owners or those leasing the land should communicate with the public about the intent of </w:t>
      </w:r>
      <w:r>
        <w:lastRenderedPageBreak/>
        <w:t>the interim use. By making clear the intention of the new use (to provide a temporary use for the site), when redevelopment begins, the public may be more likely to support the process.</w:t>
      </w:r>
    </w:p>
    <w:p w:rsidR="000C1B2E" w:rsidRDefault="000C1B2E" w:rsidP="00832360">
      <w:pPr>
        <w:rPr>
          <w:b/>
        </w:rPr>
      </w:pPr>
    </w:p>
    <w:p w:rsidR="00F1249C" w:rsidRDefault="005D5A05" w:rsidP="00F1249C">
      <w:pPr>
        <w:rPr>
          <w:b/>
        </w:rPr>
      </w:pPr>
      <w:r>
        <w:rPr>
          <w:b/>
        </w:rPr>
        <w:t>Conclusion</w:t>
      </w:r>
      <w:r w:rsidR="00F1249C" w:rsidRPr="00F1249C">
        <w:rPr>
          <w:b/>
        </w:rPr>
        <w:t xml:space="preserve"> </w:t>
      </w:r>
    </w:p>
    <w:p w:rsidR="00F1249C" w:rsidRDefault="00F1249C" w:rsidP="00F1249C">
      <w:pPr>
        <w:rPr>
          <w:b/>
        </w:rPr>
      </w:pPr>
    </w:p>
    <w:p w:rsidR="00AD5A7E" w:rsidRPr="00AD5A7E" w:rsidRDefault="00AD5A7E" w:rsidP="000C0301">
      <w:pPr>
        <w:spacing w:line="480" w:lineRule="auto"/>
      </w:pPr>
      <w:r>
        <w:tab/>
        <w:t>Brownfields provide a significant challenge to communities</w:t>
      </w:r>
      <w:r w:rsidR="000C0301">
        <w:t>. Vacant lots lower the quality of life for citizens and provide hazards to human and environmental health. While there are many opportunities associated with brownfields, markets are curr</w:t>
      </w:r>
      <w:r w:rsidR="000B4686">
        <w:t>ently failing to meet our needs and many brownfields face a future of idleness unless put to temporary use.</w:t>
      </w:r>
      <w:r w:rsidR="000C0301">
        <w:t xml:space="preserve"> </w:t>
      </w:r>
      <w:r w:rsidR="000B4686">
        <w:t>Interim uses, such as the YPN Community Gardens, may only be short-term solutions to many of the challenges of brownfields; however, they provide benefits that far exceed leaving lots idle.  Until markets find a solution to the problem of middle and bottom tier brownfields, interim uses may be the best choices for filling in the holes in communities.</w:t>
      </w: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09383B" w:rsidRDefault="0009383B" w:rsidP="0068646B">
      <w:pPr>
        <w:jc w:val="center"/>
        <w:rPr>
          <w:b/>
        </w:rPr>
      </w:pPr>
    </w:p>
    <w:p w:rsidR="0084384D" w:rsidRDefault="0084384D" w:rsidP="0068646B">
      <w:pPr>
        <w:jc w:val="center"/>
        <w:rPr>
          <w:b/>
        </w:rPr>
      </w:pPr>
    </w:p>
    <w:p w:rsidR="0009383B" w:rsidRDefault="0009383B" w:rsidP="0068646B">
      <w:pPr>
        <w:jc w:val="center"/>
        <w:rPr>
          <w:b/>
        </w:rPr>
      </w:pPr>
    </w:p>
    <w:p w:rsidR="009C241E" w:rsidRDefault="009C241E" w:rsidP="0068646B">
      <w:pPr>
        <w:jc w:val="center"/>
        <w:rPr>
          <w:b/>
        </w:rPr>
      </w:pPr>
    </w:p>
    <w:p w:rsidR="006D4EFB" w:rsidRDefault="006D4EFB" w:rsidP="0068646B">
      <w:pPr>
        <w:jc w:val="center"/>
        <w:rPr>
          <w:b/>
        </w:rPr>
      </w:pPr>
    </w:p>
    <w:p w:rsidR="0068646B" w:rsidRDefault="0068646B" w:rsidP="0068646B">
      <w:pPr>
        <w:jc w:val="center"/>
        <w:rPr>
          <w:b/>
        </w:rPr>
      </w:pPr>
      <w:r>
        <w:rPr>
          <w:b/>
        </w:rPr>
        <w:lastRenderedPageBreak/>
        <w:t>References</w:t>
      </w:r>
    </w:p>
    <w:p w:rsidR="0068646B" w:rsidRDefault="0068646B" w:rsidP="0068646B">
      <w:pPr>
        <w:jc w:val="center"/>
        <w:rPr>
          <w:b/>
        </w:rPr>
      </w:pPr>
    </w:p>
    <w:p w:rsidR="00C06554" w:rsidRDefault="00C06554" w:rsidP="0068646B">
      <w:pPr>
        <w:spacing w:line="480" w:lineRule="auto"/>
        <w:ind w:left="720" w:hanging="720"/>
        <w:contextualSpacing/>
      </w:pPr>
      <w:r>
        <w:t xml:space="preserve">ABC Precast and Ready Mix Ltd. (2011). </w:t>
      </w:r>
      <w:r>
        <w:rPr>
          <w:i/>
        </w:rPr>
        <w:t xml:space="preserve">ABC in the community. </w:t>
      </w:r>
      <w:r>
        <w:t>Retrieved on March 31</w:t>
      </w:r>
      <w:r w:rsidRPr="00C06554">
        <w:rPr>
          <w:vertAlign w:val="superscript"/>
        </w:rPr>
        <w:t>st</w:t>
      </w:r>
      <w:r>
        <w:t xml:space="preserve">, 2012, from </w:t>
      </w:r>
      <w:r w:rsidRPr="008F41AA">
        <w:t>http://www.abcprecast.ca/index.php?page=32&amp;did=4170&amp;level=1&amp;type=unique</w:t>
      </w:r>
      <w:r>
        <w:t xml:space="preserve"> </w:t>
      </w:r>
    </w:p>
    <w:p w:rsidR="0068646B" w:rsidRDefault="0068646B" w:rsidP="0068646B">
      <w:pPr>
        <w:spacing w:line="480" w:lineRule="auto"/>
        <w:ind w:left="720" w:hanging="720"/>
        <w:contextualSpacing/>
      </w:pPr>
      <w:r>
        <w:t xml:space="preserve">Barron, R. (2011, May 11). </w:t>
      </w:r>
      <w:r>
        <w:rPr>
          <w:i/>
        </w:rPr>
        <w:t xml:space="preserve">Group moves forward with big plans for community gardens. </w:t>
      </w:r>
      <w:r>
        <w:t>Retrieved on March 29</w:t>
      </w:r>
      <w:r w:rsidRPr="00FF6654">
        <w:rPr>
          <w:vertAlign w:val="superscript"/>
        </w:rPr>
        <w:t>th</w:t>
      </w:r>
      <w:r>
        <w:t xml:space="preserve">, 2012, from </w:t>
      </w:r>
      <w:r w:rsidRPr="0009383B">
        <w:t>http://www2.canada.com/nanaimodailynews/news/story.html?id=a3e04dff-4fed-41f8-8a2f-2a7a1d73d13b</w:t>
      </w:r>
      <w:r>
        <w:t xml:space="preserve"> </w:t>
      </w:r>
    </w:p>
    <w:p w:rsidR="00071AD5" w:rsidRPr="00071AD5" w:rsidRDefault="00071AD5" w:rsidP="0068646B">
      <w:pPr>
        <w:spacing w:line="480" w:lineRule="auto"/>
        <w:ind w:left="720" w:hanging="720"/>
        <w:contextualSpacing/>
      </w:pPr>
      <w:proofErr w:type="spellStart"/>
      <w:r>
        <w:t>Belbin</w:t>
      </w:r>
      <w:proofErr w:type="spellEnd"/>
      <w:r>
        <w:t xml:space="preserve"> Household. </w:t>
      </w:r>
      <w:proofErr w:type="gramStart"/>
      <w:r>
        <w:t>(2011, November).</w:t>
      </w:r>
      <w:proofErr w:type="gramEnd"/>
      <w:r>
        <w:t xml:space="preserve"> </w:t>
      </w:r>
      <w:r>
        <w:rPr>
          <w:i/>
        </w:rPr>
        <w:t xml:space="preserve">Canadian Geographic energy diet challenge: Community gardens. </w:t>
      </w:r>
      <w:r>
        <w:t>Retrieved on March 31</w:t>
      </w:r>
      <w:r w:rsidRPr="00071AD5">
        <w:rPr>
          <w:vertAlign w:val="superscript"/>
        </w:rPr>
        <w:t>st</w:t>
      </w:r>
      <w:r>
        <w:t xml:space="preserve">, 2012, from </w:t>
      </w:r>
      <w:r w:rsidRPr="00071AD5">
        <w:t>http://energydiet.canadiangeographic.ca/home/update/community-gardening</w:t>
      </w:r>
    </w:p>
    <w:p w:rsidR="0009383B" w:rsidRDefault="0009383B" w:rsidP="0009383B">
      <w:pPr>
        <w:spacing w:line="480" w:lineRule="auto"/>
        <w:ind w:left="720" w:hanging="720"/>
        <w:contextualSpacing/>
      </w:pPr>
      <w:proofErr w:type="gramStart"/>
      <w:r>
        <w:t>British Columbia Environmental Management Act.</w:t>
      </w:r>
      <w:proofErr w:type="gramEnd"/>
      <w:r>
        <w:t xml:space="preserve"> (2012, March 14). </w:t>
      </w:r>
      <w:r>
        <w:rPr>
          <w:i/>
        </w:rPr>
        <w:t>Part 4: Contaminated site remediation.</w:t>
      </w:r>
      <w:r>
        <w:t xml:space="preserve"> Retrieved on March 23</w:t>
      </w:r>
      <w:r w:rsidRPr="00AD7C4E">
        <w:rPr>
          <w:vertAlign w:val="superscript"/>
        </w:rPr>
        <w:t>rd</w:t>
      </w:r>
      <w:r>
        <w:t xml:space="preserve">, 2012, from </w:t>
      </w:r>
      <w:r w:rsidRPr="0009383B">
        <w:t>http://www.bclaws.ca/EPLibraries/bclaws_new/d</w:t>
      </w:r>
      <w:r>
        <w:t>ocument/LOC/freeside/--%20E%20- -</w:t>
      </w:r>
      <w:r w:rsidRPr="0009383B">
        <w:t>/Environmental%20Management%20Act%20SBC%202003%20c.%2053/00_Act/03053_04.xml#part4</w:t>
      </w:r>
      <w:r>
        <w:t xml:space="preserve"> </w:t>
      </w:r>
    </w:p>
    <w:p w:rsidR="0009383B" w:rsidRDefault="0009383B" w:rsidP="0009383B">
      <w:pPr>
        <w:spacing w:line="480" w:lineRule="auto"/>
        <w:ind w:left="720" w:hanging="720"/>
        <w:contextualSpacing/>
      </w:pPr>
      <w:r>
        <w:t xml:space="preserve">British Columbia </w:t>
      </w:r>
      <w:r w:rsidR="00927F44">
        <w:t>Ministry of Environment. (n.d. A</w:t>
      </w:r>
      <w:r>
        <w:t xml:space="preserve">). </w:t>
      </w:r>
      <w:r>
        <w:rPr>
          <w:i/>
        </w:rPr>
        <w:t xml:space="preserve">Brownfields and brownfield redevelopment. </w:t>
      </w:r>
      <w:r>
        <w:t>Retrieved March 22</w:t>
      </w:r>
      <w:r w:rsidRPr="00922FFF">
        <w:rPr>
          <w:vertAlign w:val="superscript"/>
        </w:rPr>
        <w:t>nd</w:t>
      </w:r>
      <w:r>
        <w:t xml:space="preserve">, 2012, from </w:t>
      </w:r>
      <w:r w:rsidRPr="0009383B">
        <w:t>http://www.env.gov.bc.ca/epd/remediation/brownfields/index.html</w:t>
      </w:r>
    </w:p>
    <w:p w:rsidR="0009383B" w:rsidRDefault="0009383B" w:rsidP="0009383B">
      <w:pPr>
        <w:spacing w:line="480" w:lineRule="auto"/>
        <w:ind w:left="720" w:hanging="720"/>
        <w:contextualSpacing/>
      </w:pPr>
      <w:r>
        <w:t xml:space="preserve">British Columbia </w:t>
      </w:r>
      <w:r w:rsidR="00927F44">
        <w:t>Ministry of Environment. (</w:t>
      </w:r>
      <w:proofErr w:type="gramStart"/>
      <w:r w:rsidR="00927F44">
        <w:t>n.d</w:t>
      </w:r>
      <w:proofErr w:type="gramEnd"/>
      <w:r w:rsidR="00927F44">
        <w:t>. B</w:t>
      </w:r>
      <w:r>
        <w:t xml:space="preserve">). </w:t>
      </w:r>
      <w:r>
        <w:rPr>
          <w:i/>
        </w:rPr>
        <w:t>Contaminated sites 101.</w:t>
      </w:r>
      <w:r>
        <w:t xml:space="preserve"> Retrieved on March 22</w:t>
      </w:r>
      <w:r w:rsidRPr="004B0D04">
        <w:rPr>
          <w:vertAlign w:val="superscript"/>
        </w:rPr>
        <w:t>nd</w:t>
      </w:r>
      <w:r>
        <w:t xml:space="preserve">, 2012, from </w:t>
      </w:r>
      <w:r w:rsidRPr="0009383B">
        <w:t>http://www.env.gov.bc.ca/epd/remediation/cs101.htm#1</w:t>
      </w:r>
      <w:r>
        <w:t xml:space="preserve"> </w:t>
      </w:r>
    </w:p>
    <w:p w:rsidR="0009383B" w:rsidRDefault="0009383B" w:rsidP="0009383B">
      <w:pPr>
        <w:spacing w:line="480" w:lineRule="auto"/>
        <w:ind w:left="720" w:hanging="720"/>
        <w:contextualSpacing/>
      </w:pPr>
      <w:r>
        <w:t xml:space="preserve">British Columbia Ministry of Environment. (2007, August). </w:t>
      </w:r>
      <w:r>
        <w:rPr>
          <w:i/>
        </w:rPr>
        <w:t>Facts on contaminated sites.</w:t>
      </w:r>
      <w:r>
        <w:t xml:space="preserve"> Retrieved March 22</w:t>
      </w:r>
      <w:r w:rsidRPr="00D955BE">
        <w:rPr>
          <w:vertAlign w:val="superscript"/>
        </w:rPr>
        <w:t>nd</w:t>
      </w:r>
      <w:r>
        <w:t xml:space="preserve">, 2012, from </w:t>
      </w:r>
      <w:r w:rsidRPr="0009383B">
        <w:t>http://www.env.gov.bc.ca/epd/remediation/brownfields/index.htm</w:t>
      </w:r>
    </w:p>
    <w:p w:rsidR="0009383B" w:rsidRDefault="0009383B" w:rsidP="0068646B">
      <w:pPr>
        <w:spacing w:line="480" w:lineRule="auto"/>
        <w:ind w:left="720" w:hanging="720"/>
        <w:contextualSpacing/>
      </w:pPr>
      <w:r>
        <w:lastRenderedPageBreak/>
        <w:t xml:space="preserve">British Columbia Ministry of Environment. (2009). </w:t>
      </w:r>
      <w:r w:rsidRPr="00702C83">
        <w:rPr>
          <w:i/>
        </w:rPr>
        <w:t>An introduction to contaminated sites in British Columbia</w:t>
      </w:r>
      <w:r>
        <w:t>. Retrieved on March 29</w:t>
      </w:r>
      <w:r w:rsidRPr="00702C83">
        <w:rPr>
          <w:vertAlign w:val="superscript"/>
        </w:rPr>
        <w:t>th</w:t>
      </w:r>
      <w:r>
        <w:t xml:space="preserve">, 2012, from </w:t>
      </w:r>
      <w:r w:rsidRPr="00702C83">
        <w:t>http://www.env.gov.bc.ca/epd/remediation/fact_sheets/pdf/fs01.pdf</w:t>
      </w:r>
    </w:p>
    <w:p w:rsidR="0068646B" w:rsidRDefault="0068646B" w:rsidP="0068646B">
      <w:pPr>
        <w:spacing w:line="480" w:lineRule="auto"/>
        <w:ind w:left="720" w:hanging="720"/>
        <w:contextualSpacing/>
      </w:pPr>
      <w:r>
        <w:t xml:space="preserve">Gorman, T. (2011, March 24). </w:t>
      </w:r>
      <w:r>
        <w:rPr>
          <w:i/>
        </w:rPr>
        <w:t>YPN considers unused lots for garden project.</w:t>
      </w:r>
      <w:r>
        <w:t xml:space="preserve"> Retrieved on March 29</w:t>
      </w:r>
      <w:r w:rsidRPr="00FF6654">
        <w:rPr>
          <w:vertAlign w:val="superscript"/>
        </w:rPr>
        <w:t>th</w:t>
      </w:r>
      <w:r>
        <w:t xml:space="preserve">, 2012, from </w:t>
      </w:r>
      <w:r w:rsidRPr="0009383B">
        <w:t>http://www.nanaimobulletin.com/news/118257174.html</w:t>
      </w:r>
      <w:r>
        <w:t xml:space="preserve"> </w:t>
      </w:r>
    </w:p>
    <w:p w:rsidR="0068646B" w:rsidRDefault="0068646B" w:rsidP="0068646B">
      <w:pPr>
        <w:spacing w:line="480" w:lineRule="auto"/>
        <w:ind w:left="720" w:hanging="720"/>
        <w:contextualSpacing/>
      </w:pPr>
      <w:r>
        <w:t xml:space="preserve">Government of British Columbia. (2012). </w:t>
      </w:r>
      <w:r>
        <w:rPr>
          <w:i/>
        </w:rPr>
        <w:t xml:space="preserve">A community resource guide for brownfields redevelopment: Case studies. </w:t>
      </w:r>
      <w:r>
        <w:t>Retrieved March 26</w:t>
      </w:r>
      <w:r w:rsidRPr="004D5870">
        <w:rPr>
          <w:vertAlign w:val="superscript"/>
        </w:rPr>
        <w:t>th</w:t>
      </w:r>
      <w:r>
        <w:t xml:space="preserve">, 2012, from </w:t>
      </w:r>
      <w:r w:rsidRPr="0009383B">
        <w:t>http://www.brownfieldrenewal.gov.bc.ca/Documents/BrownfieldsRedevelopment_CaseStudies_Web.pdf</w:t>
      </w:r>
      <w:r>
        <w:t xml:space="preserve"> </w:t>
      </w:r>
    </w:p>
    <w:p w:rsidR="0068646B" w:rsidRDefault="0068646B" w:rsidP="0068646B">
      <w:pPr>
        <w:spacing w:line="480" w:lineRule="auto"/>
        <w:ind w:left="720" w:hanging="720"/>
        <w:contextualSpacing/>
      </w:pPr>
      <w:r>
        <w:t xml:space="preserve">Hara, D. (2003). </w:t>
      </w:r>
      <w:r>
        <w:rPr>
          <w:i/>
        </w:rPr>
        <w:t xml:space="preserve">Market failures and the optimal use of brownfield redevelopment policy instruments: National brownfields redevelopment strategy. </w:t>
      </w:r>
      <w:r>
        <w:t>Retrieved March 25</w:t>
      </w:r>
      <w:r w:rsidRPr="00C950EF">
        <w:rPr>
          <w:vertAlign w:val="superscript"/>
        </w:rPr>
        <w:t>th</w:t>
      </w:r>
      <w:r>
        <w:t xml:space="preserve">, 2012, from </w:t>
      </w:r>
      <w:r w:rsidRPr="0009383B">
        <w:t>http://economics.ca/2003/papers/0245.pdf</w:t>
      </w:r>
      <w:r>
        <w:t xml:space="preserve"> </w:t>
      </w:r>
    </w:p>
    <w:p w:rsidR="0068646B" w:rsidRDefault="0068646B" w:rsidP="0068646B">
      <w:pPr>
        <w:spacing w:line="480" w:lineRule="auto"/>
        <w:ind w:left="720" w:hanging="720"/>
        <w:contextualSpacing/>
      </w:pPr>
      <w:r>
        <w:t xml:space="preserve">National Round Table on the Environment and the Economy. (2003). </w:t>
      </w:r>
      <w:r>
        <w:rPr>
          <w:i/>
        </w:rPr>
        <w:t xml:space="preserve">Cleaning up the past, building the future: A national brownfield redevelopment strategy for Canada. </w:t>
      </w:r>
      <w:r>
        <w:t>Retrieved March 22</w:t>
      </w:r>
      <w:r w:rsidRPr="00B743D4">
        <w:rPr>
          <w:vertAlign w:val="superscript"/>
        </w:rPr>
        <w:t>nd</w:t>
      </w:r>
      <w:r>
        <w:t xml:space="preserve">, 2012, from </w:t>
      </w:r>
      <w:r w:rsidRPr="0009383B">
        <w:t>http://nrtee-trnee.ca/wp-content/uploads/2011/06/brownfield-redevelopment-strategy-eng.pdf</w:t>
      </w:r>
      <w:r>
        <w:t xml:space="preserve"> </w:t>
      </w:r>
    </w:p>
    <w:p w:rsidR="0068646B" w:rsidRPr="0020479F" w:rsidRDefault="0068646B" w:rsidP="0068646B">
      <w:pPr>
        <w:spacing w:line="480" w:lineRule="auto"/>
        <w:ind w:left="720" w:hanging="720"/>
        <w:contextualSpacing/>
      </w:pPr>
      <w:r>
        <w:t xml:space="preserve">YPN Community Gardens. (2011). </w:t>
      </w:r>
      <w:r>
        <w:rPr>
          <w:i/>
        </w:rPr>
        <w:t>YPN community gardens.</w:t>
      </w:r>
      <w:r>
        <w:t xml:space="preserve"> Retrieved on March 29</w:t>
      </w:r>
      <w:r w:rsidRPr="0020479F">
        <w:rPr>
          <w:vertAlign w:val="superscript"/>
        </w:rPr>
        <w:t>th</w:t>
      </w:r>
      <w:r>
        <w:t xml:space="preserve">, 2012, from </w:t>
      </w:r>
      <w:r w:rsidRPr="0009383B">
        <w:t>http://www.ypngardens.com</w:t>
      </w:r>
      <w:r>
        <w:t xml:space="preserve"> </w:t>
      </w:r>
    </w:p>
    <w:p w:rsidR="00C06554" w:rsidRDefault="00C06554" w:rsidP="00832360">
      <w:pPr>
        <w:rPr>
          <w:b/>
        </w:rPr>
      </w:pPr>
    </w:p>
    <w:p w:rsidR="00C06554" w:rsidRPr="00C06554" w:rsidRDefault="00C06554" w:rsidP="00C06554"/>
    <w:p w:rsidR="00C06554" w:rsidRPr="00C06554" w:rsidRDefault="00C06554" w:rsidP="00C06554"/>
    <w:p w:rsidR="00C06554" w:rsidRPr="00C06554" w:rsidRDefault="00C06554" w:rsidP="00C06554"/>
    <w:p w:rsidR="00C06554" w:rsidRPr="00C06554" w:rsidRDefault="00C06554" w:rsidP="00C06554"/>
    <w:p w:rsidR="00C06554" w:rsidRPr="00C06554" w:rsidRDefault="00C06554" w:rsidP="00C06554"/>
    <w:p w:rsidR="00C06554" w:rsidRPr="00C06554" w:rsidRDefault="00C06554" w:rsidP="00C06554"/>
    <w:p w:rsidR="00C06554" w:rsidRPr="00C06554" w:rsidRDefault="00C06554" w:rsidP="00C06554"/>
    <w:p w:rsidR="00C06554" w:rsidRDefault="00C06554" w:rsidP="00C06554"/>
    <w:p w:rsidR="005D5A05" w:rsidRPr="00C06554" w:rsidRDefault="00C06554" w:rsidP="00C06554">
      <w:pPr>
        <w:tabs>
          <w:tab w:val="left" w:pos="5222"/>
        </w:tabs>
      </w:pPr>
      <w:r>
        <w:tab/>
      </w:r>
    </w:p>
    <w:sectPr w:rsidR="005D5A05" w:rsidRPr="00C06554" w:rsidSect="004F03A6">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BC" w:rsidRDefault="00C610BC" w:rsidP="003024DF">
      <w:r>
        <w:separator/>
      </w:r>
    </w:p>
  </w:endnote>
  <w:endnote w:type="continuationSeparator" w:id="0">
    <w:p w:rsidR="00C610BC" w:rsidRDefault="00C610BC" w:rsidP="00302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BC" w:rsidRDefault="00C610BC" w:rsidP="003024DF">
      <w:r>
        <w:separator/>
      </w:r>
    </w:p>
  </w:footnote>
  <w:footnote w:type="continuationSeparator" w:id="0">
    <w:p w:rsidR="00C610BC" w:rsidRDefault="00C610BC" w:rsidP="00302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DB" w:rsidRDefault="00A52CDB">
    <w:pPr>
      <w:pStyle w:val="Header"/>
      <w:jc w:val="right"/>
    </w:pPr>
    <w:r>
      <w:t xml:space="preserve">Brownfields </w:t>
    </w:r>
    <w:sdt>
      <w:sdtPr>
        <w:id w:val="41874678"/>
        <w:docPartObj>
          <w:docPartGallery w:val="Page Numbers (Top of Page)"/>
          <w:docPartUnique/>
        </w:docPartObj>
      </w:sdtPr>
      <w:sdtContent>
        <w:fldSimple w:instr=" PAGE   \* MERGEFORMAT ">
          <w:r w:rsidR="008F41AA">
            <w:rPr>
              <w:noProof/>
            </w:rPr>
            <w:t>10</w:t>
          </w:r>
        </w:fldSimple>
      </w:sdtContent>
    </w:sdt>
  </w:p>
  <w:p w:rsidR="00A52CDB" w:rsidRDefault="00A52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33E"/>
    <w:multiLevelType w:val="hybridMultilevel"/>
    <w:tmpl w:val="C6F64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BD11F7"/>
    <w:multiLevelType w:val="hybridMultilevel"/>
    <w:tmpl w:val="0FBE3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646570"/>
    <w:multiLevelType w:val="hybridMultilevel"/>
    <w:tmpl w:val="9684B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A6078C"/>
    <w:multiLevelType w:val="hybridMultilevel"/>
    <w:tmpl w:val="E9284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A74A6D"/>
    <w:multiLevelType w:val="hybridMultilevel"/>
    <w:tmpl w:val="0AD03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832360"/>
    <w:rsid w:val="00000FEA"/>
    <w:rsid w:val="00024A97"/>
    <w:rsid w:val="000466EE"/>
    <w:rsid w:val="00071AD5"/>
    <w:rsid w:val="000914E2"/>
    <w:rsid w:val="0009383B"/>
    <w:rsid w:val="000A5624"/>
    <w:rsid w:val="000B4686"/>
    <w:rsid w:val="000B7C08"/>
    <w:rsid w:val="000C0301"/>
    <w:rsid w:val="000C1B2E"/>
    <w:rsid w:val="000D3F2F"/>
    <w:rsid w:val="000E4230"/>
    <w:rsid w:val="000E5F45"/>
    <w:rsid w:val="00113437"/>
    <w:rsid w:val="0015086C"/>
    <w:rsid w:val="00151FA3"/>
    <w:rsid w:val="0017537A"/>
    <w:rsid w:val="001843F7"/>
    <w:rsid w:val="00195DF9"/>
    <w:rsid w:val="001A4741"/>
    <w:rsid w:val="001B1D33"/>
    <w:rsid w:val="00224F15"/>
    <w:rsid w:val="002377E5"/>
    <w:rsid w:val="002603F6"/>
    <w:rsid w:val="0027192F"/>
    <w:rsid w:val="00284800"/>
    <w:rsid w:val="00286571"/>
    <w:rsid w:val="0029183D"/>
    <w:rsid w:val="00292B6C"/>
    <w:rsid w:val="002C63BF"/>
    <w:rsid w:val="002D3ECA"/>
    <w:rsid w:val="002E1847"/>
    <w:rsid w:val="003024DF"/>
    <w:rsid w:val="00302BE7"/>
    <w:rsid w:val="00303809"/>
    <w:rsid w:val="00312336"/>
    <w:rsid w:val="00321C24"/>
    <w:rsid w:val="0032262F"/>
    <w:rsid w:val="00326375"/>
    <w:rsid w:val="00341463"/>
    <w:rsid w:val="00361334"/>
    <w:rsid w:val="00363C4C"/>
    <w:rsid w:val="00365860"/>
    <w:rsid w:val="00383454"/>
    <w:rsid w:val="003B3F72"/>
    <w:rsid w:val="003F10F2"/>
    <w:rsid w:val="00412BB0"/>
    <w:rsid w:val="00415FB2"/>
    <w:rsid w:val="00423E3F"/>
    <w:rsid w:val="0045316F"/>
    <w:rsid w:val="00462867"/>
    <w:rsid w:val="00465732"/>
    <w:rsid w:val="004725FF"/>
    <w:rsid w:val="00476BBB"/>
    <w:rsid w:val="0048656F"/>
    <w:rsid w:val="004C0003"/>
    <w:rsid w:val="004E7FFC"/>
    <w:rsid w:val="004F03A6"/>
    <w:rsid w:val="004F4141"/>
    <w:rsid w:val="00517364"/>
    <w:rsid w:val="00532B23"/>
    <w:rsid w:val="0055262F"/>
    <w:rsid w:val="0056008D"/>
    <w:rsid w:val="005930C7"/>
    <w:rsid w:val="005C63EB"/>
    <w:rsid w:val="005D5A05"/>
    <w:rsid w:val="006157E8"/>
    <w:rsid w:val="00627F32"/>
    <w:rsid w:val="006600C4"/>
    <w:rsid w:val="0068646B"/>
    <w:rsid w:val="00687694"/>
    <w:rsid w:val="006878BF"/>
    <w:rsid w:val="00693A0C"/>
    <w:rsid w:val="006D12F2"/>
    <w:rsid w:val="006D4EFB"/>
    <w:rsid w:val="006F6F64"/>
    <w:rsid w:val="00727AFC"/>
    <w:rsid w:val="007E0E6A"/>
    <w:rsid w:val="007E117E"/>
    <w:rsid w:val="007E1DE1"/>
    <w:rsid w:val="007E653F"/>
    <w:rsid w:val="007E7471"/>
    <w:rsid w:val="00805634"/>
    <w:rsid w:val="00832360"/>
    <w:rsid w:val="0084384D"/>
    <w:rsid w:val="008743B0"/>
    <w:rsid w:val="008A27F6"/>
    <w:rsid w:val="008A34C2"/>
    <w:rsid w:val="008A5B20"/>
    <w:rsid w:val="008C0F5A"/>
    <w:rsid w:val="008C2196"/>
    <w:rsid w:val="008F1023"/>
    <w:rsid w:val="008F2729"/>
    <w:rsid w:val="008F41AA"/>
    <w:rsid w:val="008F6BEB"/>
    <w:rsid w:val="00923913"/>
    <w:rsid w:val="00927F44"/>
    <w:rsid w:val="009478A3"/>
    <w:rsid w:val="00951673"/>
    <w:rsid w:val="00954779"/>
    <w:rsid w:val="0095545A"/>
    <w:rsid w:val="00956ADC"/>
    <w:rsid w:val="00961D7E"/>
    <w:rsid w:val="00967283"/>
    <w:rsid w:val="00975542"/>
    <w:rsid w:val="0098172C"/>
    <w:rsid w:val="009C06C5"/>
    <w:rsid w:val="009C241E"/>
    <w:rsid w:val="009C376C"/>
    <w:rsid w:val="009F1455"/>
    <w:rsid w:val="00A072E6"/>
    <w:rsid w:val="00A40ABA"/>
    <w:rsid w:val="00A50C0D"/>
    <w:rsid w:val="00A52CDB"/>
    <w:rsid w:val="00A56A8A"/>
    <w:rsid w:val="00A6759A"/>
    <w:rsid w:val="00A73967"/>
    <w:rsid w:val="00A90E21"/>
    <w:rsid w:val="00AB1B3E"/>
    <w:rsid w:val="00AD5A7E"/>
    <w:rsid w:val="00AE6B62"/>
    <w:rsid w:val="00B051C3"/>
    <w:rsid w:val="00B05FD4"/>
    <w:rsid w:val="00B3091D"/>
    <w:rsid w:val="00B372ED"/>
    <w:rsid w:val="00B577EE"/>
    <w:rsid w:val="00B77893"/>
    <w:rsid w:val="00BA37E4"/>
    <w:rsid w:val="00BC01E5"/>
    <w:rsid w:val="00BD31FA"/>
    <w:rsid w:val="00BE3472"/>
    <w:rsid w:val="00C06554"/>
    <w:rsid w:val="00C15350"/>
    <w:rsid w:val="00C447A2"/>
    <w:rsid w:val="00C44E9E"/>
    <w:rsid w:val="00C5141B"/>
    <w:rsid w:val="00C610BC"/>
    <w:rsid w:val="00C6322D"/>
    <w:rsid w:val="00C93D22"/>
    <w:rsid w:val="00CB02CD"/>
    <w:rsid w:val="00CB6995"/>
    <w:rsid w:val="00CC5864"/>
    <w:rsid w:val="00CD1AA7"/>
    <w:rsid w:val="00CE161D"/>
    <w:rsid w:val="00CE3CFD"/>
    <w:rsid w:val="00CE7420"/>
    <w:rsid w:val="00CF083F"/>
    <w:rsid w:val="00D27301"/>
    <w:rsid w:val="00D55566"/>
    <w:rsid w:val="00D56DC4"/>
    <w:rsid w:val="00D57413"/>
    <w:rsid w:val="00D7619A"/>
    <w:rsid w:val="00D839F5"/>
    <w:rsid w:val="00DA48C9"/>
    <w:rsid w:val="00DB4332"/>
    <w:rsid w:val="00DC0B02"/>
    <w:rsid w:val="00E035DD"/>
    <w:rsid w:val="00E37F02"/>
    <w:rsid w:val="00E44105"/>
    <w:rsid w:val="00E47E57"/>
    <w:rsid w:val="00E758B2"/>
    <w:rsid w:val="00EA0664"/>
    <w:rsid w:val="00EA7213"/>
    <w:rsid w:val="00EB5EB3"/>
    <w:rsid w:val="00EC06C6"/>
    <w:rsid w:val="00EC2CF5"/>
    <w:rsid w:val="00ED66E9"/>
    <w:rsid w:val="00F1249C"/>
    <w:rsid w:val="00F266C9"/>
    <w:rsid w:val="00F6027E"/>
    <w:rsid w:val="00F63866"/>
    <w:rsid w:val="00F709DE"/>
    <w:rsid w:val="00F96271"/>
    <w:rsid w:val="00FA1834"/>
    <w:rsid w:val="00FB77BC"/>
    <w:rsid w:val="00FC28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00"/>
    <w:rPr>
      <w:sz w:val="24"/>
      <w:szCs w:val="24"/>
      <w:lang w:val="en-CA"/>
    </w:rPr>
  </w:style>
  <w:style w:type="paragraph" w:styleId="Heading1">
    <w:name w:val="heading 1"/>
    <w:basedOn w:val="Normal"/>
    <w:next w:val="Normal"/>
    <w:link w:val="Heading1Char"/>
    <w:uiPriority w:val="9"/>
    <w:qFormat/>
    <w:rsid w:val="002848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48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8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8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8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8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800"/>
    <w:pPr>
      <w:spacing w:before="240" w:after="60"/>
      <w:outlineLvl w:val="6"/>
    </w:pPr>
  </w:style>
  <w:style w:type="paragraph" w:styleId="Heading8">
    <w:name w:val="heading 8"/>
    <w:basedOn w:val="Normal"/>
    <w:next w:val="Normal"/>
    <w:link w:val="Heading8Char"/>
    <w:uiPriority w:val="9"/>
    <w:semiHidden/>
    <w:unhideWhenUsed/>
    <w:qFormat/>
    <w:rsid w:val="00284800"/>
    <w:pPr>
      <w:spacing w:before="240" w:after="60"/>
      <w:outlineLvl w:val="7"/>
    </w:pPr>
    <w:rPr>
      <w:i/>
      <w:iCs/>
    </w:rPr>
  </w:style>
  <w:style w:type="paragraph" w:styleId="Heading9">
    <w:name w:val="heading 9"/>
    <w:basedOn w:val="Normal"/>
    <w:next w:val="Normal"/>
    <w:link w:val="Heading9Char"/>
    <w:uiPriority w:val="9"/>
    <w:semiHidden/>
    <w:unhideWhenUsed/>
    <w:qFormat/>
    <w:rsid w:val="002848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48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8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84800"/>
    <w:rPr>
      <w:b/>
      <w:bCs/>
      <w:sz w:val="28"/>
      <w:szCs w:val="28"/>
    </w:rPr>
  </w:style>
  <w:style w:type="character" w:customStyle="1" w:styleId="Heading5Char">
    <w:name w:val="Heading 5 Char"/>
    <w:basedOn w:val="DefaultParagraphFont"/>
    <w:link w:val="Heading5"/>
    <w:uiPriority w:val="9"/>
    <w:semiHidden/>
    <w:rsid w:val="00284800"/>
    <w:rPr>
      <w:b/>
      <w:bCs/>
      <w:i/>
      <w:iCs/>
      <w:sz w:val="26"/>
      <w:szCs w:val="26"/>
    </w:rPr>
  </w:style>
  <w:style w:type="character" w:customStyle="1" w:styleId="Heading6Char">
    <w:name w:val="Heading 6 Char"/>
    <w:basedOn w:val="DefaultParagraphFont"/>
    <w:link w:val="Heading6"/>
    <w:uiPriority w:val="9"/>
    <w:semiHidden/>
    <w:rsid w:val="00284800"/>
    <w:rPr>
      <w:b/>
      <w:bCs/>
    </w:rPr>
  </w:style>
  <w:style w:type="character" w:customStyle="1" w:styleId="Heading7Char">
    <w:name w:val="Heading 7 Char"/>
    <w:basedOn w:val="DefaultParagraphFont"/>
    <w:link w:val="Heading7"/>
    <w:uiPriority w:val="9"/>
    <w:semiHidden/>
    <w:rsid w:val="00284800"/>
    <w:rPr>
      <w:sz w:val="24"/>
      <w:szCs w:val="24"/>
    </w:rPr>
  </w:style>
  <w:style w:type="character" w:customStyle="1" w:styleId="Heading8Char">
    <w:name w:val="Heading 8 Char"/>
    <w:basedOn w:val="DefaultParagraphFont"/>
    <w:link w:val="Heading8"/>
    <w:uiPriority w:val="9"/>
    <w:semiHidden/>
    <w:rsid w:val="00284800"/>
    <w:rPr>
      <w:i/>
      <w:iCs/>
      <w:sz w:val="24"/>
      <w:szCs w:val="24"/>
    </w:rPr>
  </w:style>
  <w:style w:type="character" w:customStyle="1" w:styleId="Heading9Char">
    <w:name w:val="Heading 9 Char"/>
    <w:basedOn w:val="DefaultParagraphFont"/>
    <w:link w:val="Heading9"/>
    <w:uiPriority w:val="9"/>
    <w:semiHidden/>
    <w:rsid w:val="00284800"/>
    <w:rPr>
      <w:rFonts w:asciiTheme="majorHAnsi" w:eastAsiaTheme="majorEastAsia" w:hAnsiTheme="majorHAnsi"/>
    </w:rPr>
  </w:style>
  <w:style w:type="paragraph" w:styleId="Title">
    <w:name w:val="Title"/>
    <w:basedOn w:val="Normal"/>
    <w:next w:val="Normal"/>
    <w:link w:val="TitleChar"/>
    <w:uiPriority w:val="10"/>
    <w:qFormat/>
    <w:rsid w:val="002848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48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48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800"/>
    <w:rPr>
      <w:rFonts w:asciiTheme="majorHAnsi" w:eastAsiaTheme="majorEastAsia" w:hAnsiTheme="majorHAnsi"/>
      <w:sz w:val="24"/>
      <w:szCs w:val="24"/>
    </w:rPr>
  </w:style>
  <w:style w:type="character" w:styleId="Strong">
    <w:name w:val="Strong"/>
    <w:basedOn w:val="DefaultParagraphFont"/>
    <w:uiPriority w:val="22"/>
    <w:qFormat/>
    <w:rsid w:val="00284800"/>
    <w:rPr>
      <w:b/>
      <w:bCs/>
    </w:rPr>
  </w:style>
  <w:style w:type="character" w:styleId="Emphasis">
    <w:name w:val="Emphasis"/>
    <w:basedOn w:val="DefaultParagraphFont"/>
    <w:uiPriority w:val="20"/>
    <w:qFormat/>
    <w:rsid w:val="00284800"/>
    <w:rPr>
      <w:rFonts w:asciiTheme="minorHAnsi" w:hAnsiTheme="minorHAnsi"/>
      <w:b/>
      <w:i/>
      <w:iCs/>
    </w:rPr>
  </w:style>
  <w:style w:type="paragraph" w:styleId="NoSpacing">
    <w:name w:val="No Spacing"/>
    <w:basedOn w:val="Normal"/>
    <w:uiPriority w:val="1"/>
    <w:qFormat/>
    <w:rsid w:val="00284800"/>
    <w:rPr>
      <w:szCs w:val="32"/>
    </w:rPr>
  </w:style>
  <w:style w:type="paragraph" w:styleId="ListParagraph">
    <w:name w:val="List Paragraph"/>
    <w:basedOn w:val="Normal"/>
    <w:uiPriority w:val="34"/>
    <w:qFormat/>
    <w:rsid w:val="00284800"/>
    <w:pPr>
      <w:ind w:left="720"/>
      <w:contextualSpacing/>
    </w:pPr>
  </w:style>
  <w:style w:type="paragraph" w:styleId="Quote">
    <w:name w:val="Quote"/>
    <w:basedOn w:val="Normal"/>
    <w:next w:val="Normal"/>
    <w:link w:val="QuoteChar"/>
    <w:uiPriority w:val="29"/>
    <w:qFormat/>
    <w:rsid w:val="00284800"/>
    <w:rPr>
      <w:i/>
    </w:rPr>
  </w:style>
  <w:style w:type="character" w:customStyle="1" w:styleId="QuoteChar">
    <w:name w:val="Quote Char"/>
    <w:basedOn w:val="DefaultParagraphFont"/>
    <w:link w:val="Quote"/>
    <w:uiPriority w:val="29"/>
    <w:rsid w:val="00284800"/>
    <w:rPr>
      <w:i/>
      <w:sz w:val="24"/>
      <w:szCs w:val="24"/>
    </w:rPr>
  </w:style>
  <w:style w:type="paragraph" w:styleId="IntenseQuote">
    <w:name w:val="Intense Quote"/>
    <w:basedOn w:val="Normal"/>
    <w:next w:val="Normal"/>
    <w:link w:val="IntenseQuoteChar"/>
    <w:uiPriority w:val="30"/>
    <w:qFormat/>
    <w:rsid w:val="00284800"/>
    <w:pPr>
      <w:ind w:left="720" w:right="720"/>
    </w:pPr>
    <w:rPr>
      <w:b/>
      <w:i/>
      <w:szCs w:val="22"/>
    </w:rPr>
  </w:style>
  <w:style w:type="character" w:customStyle="1" w:styleId="IntenseQuoteChar">
    <w:name w:val="Intense Quote Char"/>
    <w:basedOn w:val="DefaultParagraphFont"/>
    <w:link w:val="IntenseQuote"/>
    <w:uiPriority w:val="30"/>
    <w:rsid w:val="00284800"/>
    <w:rPr>
      <w:b/>
      <w:i/>
      <w:sz w:val="24"/>
    </w:rPr>
  </w:style>
  <w:style w:type="character" w:styleId="SubtleEmphasis">
    <w:name w:val="Subtle Emphasis"/>
    <w:uiPriority w:val="19"/>
    <w:qFormat/>
    <w:rsid w:val="00284800"/>
    <w:rPr>
      <w:i/>
      <w:color w:val="5A5A5A" w:themeColor="text1" w:themeTint="A5"/>
    </w:rPr>
  </w:style>
  <w:style w:type="character" w:styleId="IntenseEmphasis">
    <w:name w:val="Intense Emphasis"/>
    <w:basedOn w:val="DefaultParagraphFont"/>
    <w:uiPriority w:val="21"/>
    <w:qFormat/>
    <w:rsid w:val="00284800"/>
    <w:rPr>
      <w:b/>
      <w:i/>
      <w:sz w:val="24"/>
      <w:szCs w:val="24"/>
      <w:u w:val="single"/>
    </w:rPr>
  </w:style>
  <w:style w:type="character" w:styleId="SubtleReference">
    <w:name w:val="Subtle Reference"/>
    <w:basedOn w:val="DefaultParagraphFont"/>
    <w:uiPriority w:val="31"/>
    <w:qFormat/>
    <w:rsid w:val="00284800"/>
    <w:rPr>
      <w:sz w:val="24"/>
      <w:szCs w:val="24"/>
      <w:u w:val="single"/>
    </w:rPr>
  </w:style>
  <w:style w:type="character" w:styleId="IntenseReference">
    <w:name w:val="Intense Reference"/>
    <w:basedOn w:val="DefaultParagraphFont"/>
    <w:uiPriority w:val="32"/>
    <w:qFormat/>
    <w:rsid w:val="00284800"/>
    <w:rPr>
      <w:b/>
      <w:sz w:val="24"/>
      <w:u w:val="single"/>
    </w:rPr>
  </w:style>
  <w:style w:type="character" w:styleId="BookTitle">
    <w:name w:val="Book Title"/>
    <w:basedOn w:val="DefaultParagraphFont"/>
    <w:uiPriority w:val="33"/>
    <w:qFormat/>
    <w:rsid w:val="002848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800"/>
    <w:pPr>
      <w:outlineLvl w:val="9"/>
    </w:pPr>
  </w:style>
  <w:style w:type="paragraph" w:styleId="Header">
    <w:name w:val="header"/>
    <w:basedOn w:val="Normal"/>
    <w:link w:val="HeaderChar"/>
    <w:uiPriority w:val="99"/>
    <w:unhideWhenUsed/>
    <w:rsid w:val="003024DF"/>
    <w:pPr>
      <w:tabs>
        <w:tab w:val="center" w:pos="4680"/>
        <w:tab w:val="right" w:pos="9360"/>
      </w:tabs>
    </w:pPr>
  </w:style>
  <w:style w:type="character" w:customStyle="1" w:styleId="HeaderChar">
    <w:name w:val="Header Char"/>
    <w:basedOn w:val="DefaultParagraphFont"/>
    <w:link w:val="Header"/>
    <w:uiPriority w:val="99"/>
    <w:rsid w:val="003024DF"/>
    <w:rPr>
      <w:sz w:val="24"/>
      <w:szCs w:val="24"/>
      <w:lang w:val="en-CA"/>
    </w:rPr>
  </w:style>
  <w:style w:type="paragraph" w:styleId="Footer">
    <w:name w:val="footer"/>
    <w:basedOn w:val="Normal"/>
    <w:link w:val="FooterChar"/>
    <w:uiPriority w:val="99"/>
    <w:semiHidden/>
    <w:unhideWhenUsed/>
    <w:rsid w:val="003024DF"/>
    <w:pPr>
      <w:tabs>
        <w:tab w:val="center" w:pos="4680"/>
        <w:tab w:val="right" w:pos="9360"/>
      </w:tabs>
    </w:pPr>
  </w:style>
  <w:style w:type="character" w:customStyle="1" w:styleId="FooterChar">
    <w:name w:val="Footer Char"/>
    <w:basedOn w:val="DefaultParagraphFont"/>
    <w:link w:val="Footer"/>
    <w:uiPriority w:val="99"/>
    <w:semiHidden/>
    <w:rsid w:val="003024DF"/>
    <w:rPr>
      <w:sz w:val="24"/>
      <w:szCs w:val="24"/>
      <w:lang w:val="en-CA"/>
    </w:rPr>
  </w:style>
  <w:style w:type="paragraph" w:styleId="BalloonText">
    <w:name w:val="Balloon Text"/>
    <w:basedOn w:val="Normal"/>
    <w:link w:val="BalloonTextChar"/>
    <w:uiPriority w:val="99"/>
    <w:semiHidden/>
    <w:unhideWhenUsed/>
    <w:rsid w:val="001843F7"/>
    <w:rPr>
      <w:rFonts w:ascii="Tahoma" w:hAnsi="Tahoma" w:cs="Tahoma"/>
      <w:sz w:val="16"/>
      <w:szCs w:val="16"/>
    </w:rPr>
  </w:style>
  <w:style w:type="character" w:customStyle="1" w:styleId="BalloonTextChar">
    <w:name w:val="Balloon Text Char"/>
    <w:basedOn w:val="DefaultParagraphFont"/>
    <w:link w:val="BalloonText"/>
    <w:uiPriority w:val="99"/>
    <w:semiHidden/>
    <w:rsid w:val="001843F7"/>
    <w:rPr>
      <w:rFonts w:ascii="Tahoma" w:hAnsi="Tahoma" w:cs="Tahoma"/>
      <w:sz w:val="16"/>
      <w:szCs w:val="16"/>
      <w:lang w:val="en-CA"/>
    </w:rPr>
  </w:style>
  <w:style w:type="character" w:styleId="Hyperlink">
    <w:name w:val="Hyperlink"/>
    <w:basedOn w:val="DefaultParagraphFont"/>
    <w:uiPriority w:val="99"/>
    <w:unhideWhenUsed/>
    <w:rsid w:val="000C1B2E"/>
    <w:rPr>
      <w:color w:val="0000FF" w:themeColor="hyperlink"/>
      <w:u w:val="single"/>
    </w:rPr>
  </w:style>
  <w:style w:type="character" w:styleId="FollowedHyperlink">
    <w:name w:val="FollowedHyperlink"/>
    <w:basedOn w:val="DefaultParagraphFont"/>
    <w:uiPriority w:val="99"/>
    <w:semiHidden/>
    <w:unhideWhenUsed/>
    <w:rsid w:val="006864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7EA31-0EFA-4FF2-ABBF-D3FD26A2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13</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Tamera</dc:creator>
  <cp:lastModifiedBy>Tamera</cp:lastModifiedBy>
  <cp:revision>20</cp:revision>
  <cp:lastPrinted>2012-04-01T03:02:00Z</cp:lastPrinted>
  <dcterms:created xsi:type="dcterms:W3CDTF">2012-03-30T08:56:00Z</dcterms:created>
  <dcterms:modified xsi:type="dcterms:W3CDTF">2012-04-02T20:51:00Z</dcterms:modified>
</cp:coreProperties>
</file>